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1" w:name="X48661fe30bbabb06b5a74ffd70704716a60805f"/>
    <w:p>
      <w:pPr>
        <w:pStyle w:val="Heading1"/>
      </w:pPr>
      <w:r>
        <w:t xml:space="preserve">School closure scenarios: what to weigh before deciding (v2)</w:t>
      </w:r>
    </w:p>
    <w:p>
      <w:pPr>
        <w:pStyle w:val="FirstParagraph"/>
      </w:pPr>
      <w:r>
        <w:rPr>
          <w:iCs/>
          <w:i/>
        </w:rPr>
        <w:t xml:space="preserve">Legion of Data Nerds · Budget brief · Fall 2026</w:t>
      </w:r>
    </w:p>
    <w:p>
      <w:pPr>
        <w:pStyle w:val="BodyText"/>
      </w:pPr>
      <w:r>
        <w:t xml:space="preserve">District 65 needs to cut about 10% of its budget. We looked at class sizes, the options on the table, our staffing against the State's funding model, building costs and the closure scenarios.</w:t>
      </w:r>
    </w:p>
    <w:p>
      <w:pPr>
        <w:pStyle w:val="BlockText"/>
      </w:pPr>
      <w:r>
        <w:rPr>
          <w:bCs/>
          <w:b/>
        </w:rPr>
        <w:t xml:space="preserve">v2 data, as of October 1, 2026.</w:t>
      </w:r>
    </w:p>
    <w:p>
      <w:pPr>
        <w:numPr>
          <w:ilvl w:val="0"/>
          <w:numId w:val="1001"/>
        </w:numPr>
        <w:pStyle w:val="Compact"/>
      </w:pPr>
      <w:r>
        <w:rPr>
          <w:bCs/>
          <w:b/>
        </w:rPr>
        <w:t xml:space="preserve">Class counts:</w:t>
      </w:r>
      <w:r>
        <w:t xml:space="preserve"> </w:t>
      </w:r>
      <w:r>
        <w:t xml:space="preserve">the district's FY27 (fall 2026) K–5 section list, a spreadsheet (</w:t>
      </w:r>
      <w:r>
        <w:rPr>
          <w:rStyle w:val="VerbatimChar"/>
        </w:rPr>
        <w:t xml:space="preserve">k5_sections_fy27.xlsx</w:t>
      </w:r>
      <w:r>
        <w:t xml:space="preserve">) received by email from District 65 on October 1, 2026: 188 sections by school, grade and program. It replaces our estimate of 190 classes.</w:t>
      </w:r>
    </w:p>
    <w:p>
      <w:pPr>
        <w:numPr>
          <w:ilvl w:val="0"/>
          <w:numId w:val="1001"/>
        </w:numPr>
        <w:pStyle w:val="Compact"/>
      </w:pPr>
      <w:r>
        <w:rPr>
          <w:bCs/>
          <w:b/>
        </w:rPr>
        <w:t xml:space="preserve">Enrollment:</w:t>
      </w:r>
      <w:r>
        <w:t xml:space="preserve"> </w:t>
      </w:r>
      <w:r>
        <w:t xml:space="preserve">re-pulled from</w:t>
      </w:r>
      <w:r>
        <w:t xml:space="preserve"> </w:t>
      </w:r>
      <w:hyperlink r:id="rId20">
        <w:r>
          <w:rPr>
            <w:rStyle w:val="Hyperlink"/>
          </w:rPr>
          <w:t xml:space="preserve">data.district65.net</w:t>
        </w:r>
      </w:hyperlink>
      <w:r>
        <w:t xml:space="preserve"> </w:t>
      </w:r>
      <w:r>
        <w:t xml:space="preserve">on October 1, 2026: 5,415 students (5,462 on September 23).</w:t>
      </w:r>
    </w:p>
    <w:p>
      <w:pPr>
        <w:numPr>
          <w:ilvl w:val="0"/>
          <w:numId w:val="1001"/>
        </w:numPr>
        <w:pStyle w:val="Compact"/>
      </w:pPr>
      <w:r>
        <w:rPr>
          <w:bCs/>
          <w:b/>
        </w:rPr>
        <w:t xml:space="preserve">Updated with October 1 data:</w:t>
      </w:r>
      <w:r>
        <w:t xml:space="preserve"> </w:t>
      </w:r>
      <w:r>
        <w:t xml:space="preserve">the class-size section, the class-size chart and correlation, and the "sections today" column in the classroom appendix.</w:t>
      </w:r>
    </w:p>
    <w:p>
      <w:pPr>
        <w:numPr>
          <w:ilvl w:val="0"/>
          <w:numId w:val="1001"/>
        </w:numPr>
        <w:pStyle w:val="Compact"/>
      </w:pPr>
      <w:r>
        <w:rPr>
          <w:bCs/>
          <w:b/>
        </w:rPr>
        <w:t xml:space="preserve">Still on the September 23 enrollment:</w:t>
      </w:r>
      <w:r>
        <w:t xml:space="preserve"> </w:t>
      </w:r>
      <w:r>
        <w:t xml:space="preserve">building costs per student, the closure scenarios and the State funding comparison. No school's enrollment changed by more than 3% (Lincoln: 350 to 340).</w:t>
      </w:r>
    </w:p>
    <w:p>
      <w:pPr>
        <w:pStyle w:val="BlockText"/>
      </w:pPr>
      <w:r>
        <w:rPr>
          <w:bCs/>
          <w:b/>
        </w:rPr>
        <w:t xml:space="preserve">About this version.</w:t>
      </w:r>
      <w:r>
        <w:t xml:space="preserve"> </w:t>
      </w:r>
      <w:r>
        <w:t xml:space="preserve">This is a text version of</w:t>
      </w:r>
      <w:r>
        <w:t xml:space="preserve"> </w:t>
      </w:r>
      <w:r>
        <w:rPr>
          <w:rStyle w:val="VerbatimChar"/>
        </w:rPr>
        <w:t xml:space="preserve">d65_budget_choices_handout.pdf</w:t>
      </w:r>
      <w:r>
        <w:t xml:space="preserve">. It adds three things, each marked</w:t>
      </w:r>
      <w:r>
        <w:t xml:space="preserve"> </w:t>
      </w:r>
      <w:r>
        <w:rPr>
          <w:bCs/>
          <w:b/>
        </w:rPr>
        <w:t xml:space="preserve">Added</w:t>
      </w:r>
      <w:r>
        <w:t xml:space="preserve">:</w:t>
      </w:r>
    </w:p>
    <w:p>
      <w:pPr>
        <w:numPr>
          <w:ilvl w:val="0"/>
          <w:numId w:val="1002"/>
        </w:numPr>
        <w:pStyle w:val="Compact"/>
      </w:pPr>
      <w:r>
        <w:t xml:space="preserve">The facility plan's capital needs, folded into the building-cost comparison (section 01)</w:t>
      </w:r>
    </w:p>
    <w:p>
      <w:pPr>
        <w:numPr>
          <w:ilvl w:val="0"/>
          <w:numId w:val="1002"/>
        </w:numPr>
        <w:pStyle w:val="Compact"/>
      </w:pPr>
      <w:r>
        <w:t xml:space="preserve">Closing Dawes, as a single closure and in pairs (section 02)</w:t>
      </w:r>
    </w:p>
    <w:p>
      <w:pPr>
        <w:numPr>
          <w:ilvl w:val="0"/>
          <w:numId w:val="1002"/>
        </w:numPr>
        <w:pStyle w:val="Compact"/>
      </w:pPr>
      <w:r>
        <w:t xml:space="preserve">A check of the handout's classroom counts against the District's March 2026 Facility Master Plan (appendix)</w:t>
      </w:r>
    </w:p>
    <w:bookmarkStart w:id="21" w:name="what-should-guide-the-plan"/>
    <w:p>
      <w:pPr>
        <w:pStyle w:val="Heading2"/>
      </w:pPr>
      <w:r>
        <w:t xml:space="preserve">What should guide the plan</w:t>
      </w:r>
    </w:p>
    <w:p>
      <w:pPr>
        <w:numPr>
          <w:ilvl w:val="0"/>
          <w:numId w:val="1003"/>
        </w:numPr>
        <w:pStyle w:val="Compact"/>
      </w:pPr>
      <w:r>
        <w:rPr>
          <w:bCs/>
          <w:b/>
        </w:rPr>
        <w:t xml:space="preserve">Decide by outcomes, not dollars.</w:t>
      </w:r>
      <w:r>
        <w:t xml:space="preserve"> </w:t>
      </w:r>
      <w:r>
        <w:t xml:space="preserve">Orient decisions and accountability toward what students learn, and judge every cut by its effect on the classroom.</w:t>
      </w:r>
    </w:p>
    <w:p>
      <w:pPr>
        <w:numPr>
          <w:ilvl w:val="0"/>
          <w:numId w:val="1003"/>
        </w:numPr>
        <w:pStyle w:val="Compact"/>
      </w:pPr>
      <w:r>
        <w:rPr>
          <w:bCs/>
          <w:b/>
        </w:rPr>
        <w:t xml:space="preserve">Build a learning organization.</w:t>
      </w:r>
      <w:r>
        <w:t xml:space="preserve"> </w:t>
      </w:r>
      <w:r>
        <w:t xml:space="preserve">Use data to improve, and be willing to say when something didn't work and change course.</w:t>
      </w:r>
    </w:p>
    <w:p>
      <w:pPr>
        <w:numPr>
          <w:ilvl w:val="0"/>
          <w:numId w:val="1003"/>
        </w:numPr>
        <w:pStyle w:val="Compact"/>
      </w:pPr>
      <w:r>
        <w:rPr>
          <w:bCs/>
          <w:b/>
        </w:rPr>
        <w:t xml:space="preserve">Engaged families are an asset.</w:t>
      </w:r>
      <w:r>
        <w:t xml:space="preserve"> </w:t>
      </w:r>
      <w:r>
        <w:t xml:space="preserve">Community groups like ours are part of a healthy district. When parents check out, the system has already failed.</w:t>
      </w:r>
    </w:p>
    <w:bookmarkEnd w:id="21"/>
    <w:bookmarkStart w:id="22" w:name="risk-assessment-a-building-first-plan"/>
    <w:p>
      <w:pPr>
        <w:pStyle w:val="Heading2"/>
      </w:pPr>
      <w:r>
        <w:t xml:space="preserve">Risk assessment: a building-first plan</w:t>
      </w:r>
    </w:p>
    <w:tbl>
      <w:tblPr>
        <w:tblStyle w:val="Table"/>
        <w:tblLook w:firstRow="1" w:lastRow="0" w:firstColumn="0" w:lastColumn="0" w:noHBand="0" w:noVBand="0" w:val="0020"/>
        <w:jc w:val="start"/>
        <w:tblBorders>
          <w:top w:val="single" w:sz="4" w:color="BFBFBF"/>
          <w:left w:val="single" w:sz="4" w:color="BFBFBF"/>
          <w:bottom w:val="single" w:sz="4" w:color="BFBFBF"/>
          <w:right w:val="single" w:sz="4" w:color="BFBFBF"/>
          <w:insideH w:val="single" w:sz="4" w:color="BFBFBF"/>
          <w:insideV w:val="single" w:sz="4" w:color="BFBFBF"/>
        </w:tblBorders>
        <w:tblW w:w="5000" w:type="pct"/>
        <w:tblLayout w:type="autofit"/>
      </w:tblPr>
      <w:tblGrid>
        <w:gridCol/>
        <w:gridCol/>
        <w:gridCol/>
      </w:tblGrid>
      <w:tr>
        <w:trPr>
          <w:tblHeader w:val="true"/>
        </w:trPr>
        <w:tc>
          <w:tcPr>
            <w:shd w:val="clear" w:fill="E8ECF3"/>
          </w:tcPr>
          <w:p>
            <w:pPr>
              <w:pStyle w:val="Compact"/>
              <w:jc w:val="left"/>
            </w:pPr>
            <w:r>
              <w:rPr>
                <w:rFonts w:ascii="Arial" w:hAnsi="Arial"/>
                <w:b/>
                <w:sz w:val="18"/>
              </w:rPr>
              <w:t xml:space="preserve">Risk</w:t>
            </w:r>
          </w:p>
        </w:tc>
        <w:tc>
          <w:tcPr>
            <w:shd w:val="clear" w:fill="E8ECF3"/>
          </w:tcPr>
          <w:p>
            <w:pPr>
              <w:pStyle w:val="Compact"/>
              <w:jc w:val="left"/>
            </w:pPr>
            <w:r>
              <w:rPr>
                <w:rFonts w:ascii="Arial" w:hAnsi="Arial"/>
                <w:b/>
                <w:sz w:val="18"/>
              </w:rPr>
              <w:t xml:space="preserve">Level</w:t>
            </w:r>
          </w:p>
        </w:tc>
        <w:tc>
          <w:tcPr>
            <w:shd w:val="clear" w:fill="E8ECF3"/>
          </w:tcPr>
          <w:p>
            <w:pPr>
              <w:pStyle w:val="Compact"/>
              <w:jc w:val="left"/>
            </w:pPr>
            <w:r>
              <w:rPr>
                <w:rFonts w:ascii="Arial" w:hAnsi="Arial"/>
                <w:b/>
                <w:sz w:val="18"/>
              </w:rPr>
              <w:t xml:space="preserve">What we found</w:t>
            </w:r>
          </w:p>
        </w:tc>
      </w:tr>
      <w:tr>
        <w:tc>
          <w:tcPr/>
          <w:p>
            <w:pPr>
              <w:pStyle w:val="Compact"/>
              <w:jc w:val="left"/>
            </w:pPr>
            <w:r>
              <w:rPr>
                <w:rFonts w:ascii="Arial" w:hAnsi="Arial"/>
                <w:sz w:val="18"/>
              </w:rPr>
              <w:t xml:space="preserve">Enrollment numbers are off</w:t>
            </w:r>
          </w:p>
        </w:tc>
        <w:tc>
          <w:tcPr/>
          <w:p>
            <w:pPr>
              <w:pStyle w:val="Compact"/>
              <w:jc w:val="left"/>
            </w:pPr>
            <w:r>
              <w:rPr>
                <w:bCs/>
                <w:rFonts w:ascii="Arial" w:hAnsi="Arial"/>
                <w:b/>
                <w:sz w:val="18"/>
              </w:rPr>
              <w:t xml:space="preserve">High</w:t>
            </w:r>
          </w:p>
        </w:tc>
        <w:tc>
          <w:tcPr/>
          <w:p>
            <w:pPr>
              <w:pStyle w:val="Compact"/>
              <w:jc w:val="left"/>
            </w:pPr>
            <w:r>
              <w:rPr>
                <w:rFonts w:ascii="Arial" w:hAnsi="Arial"/>
                <w:sz w:val="18"/>
              </w:rPr>
              <w:t xml:space="preserve">May projection: 604 kindergartners; fall actual: 534 (−12%). About 210 students attend by permissive transfer.</w:t>
            </w:r>
          </w:p>
        </w:tc>
      </w:tr>
      <w:tr>
        <w:tc>
          <w:tcPr/>
          <w:p>
            <w:pPr>
              <w:pStyle w:val="Compact"/>
              <w:jc w:val="left"/>
            </w:pPr>
            <w:r>
              <w:rPr>
                <w:rFonts w:ascii="Arial" w:hAnsi="Arial"/>
                <w:sz w:val="18"/>
              </w:rPr>
              <w:t xml:space="preserve">Receiving schools overfill</w:t>
            </w:r>
          </w:p>
        </w:tc>
        <w:tc>
          <w:tcPr/>
          <w:p>
            <w:pPr>
              <w:pStyle w:val="Compact"/>
              <w:jc w:val="left"/>
            </w:pPr>
            <w:r>
              <w:rPr>
                <w:bCs/>
                <w:rFonts w:ascii="Arial" w:hAnsi="Arial"/>
                <w:b/>
                <w:sz w:val="18"/>
              </w:rPr>
              <w:t xml:space="preserve">High</w:t>
            </w:r>
          </w:p>
        </w:tc>
        <w:tc>
          <w:tcPr/>
          <w:p>
            <w:pPr>
              <w:pStyle w:val="Compact"/>
              <w:jc w:val="left"/>
            </w:pPr>
            <w:r>
              <w:rPr>
                <w:bCs/>
                <w:rFonts w:ascii="Arial" w:hAnsi="Arial"/>
                <w:b/>
                <w:sz w:val="18"/>
              </w:rPr>
              <w:t xml:space="preserve">8 of 19</w:t>
            </w:r>
            <w:r>
              <w:rPr>
                <w:rFonts w:ascii="Arial" w:hAnsi="Arial"/>
                <w:sz w:val="18"/>
              </w:rPr>
              <w:t xml:space="preserve"> </w:t>
            </w:r>
            <w:r>
              <w:rPr>
                <w:rFonts w:ascii="Arial" w:hAnsi="Arial"/>
                <w:sz w:val="18"/>
              </w:rPr>
              <w:t xml:space="preserve">scenarios push a school past capacity (7 of 15 before Dawes was added).</w:t>
            </w:r>
          </w:p>
        </w:tc>
      </w:tr>
      <w:tr>
        <w:tc>
          <w:tcPr/>
          <w:p>
            <w:pPr>
              <w:pStyle w:val="Compact"/>
              <w:jc w:val="left"/>
            </w:pPr>
            <w:r>
              <w:rPr>
                <w:rFonts w:ascii="Arial" w:hAnsi="Arial"/>
                <w:sz w:val="18"/>
              </w:rPr>
              <w:t xml:space="preserve">Low-enrollment programs</w:t>
            </w:r>
          </w:p>
        </w:tc>
        <w:tc>
          <w:tcPr/>
          <w:p>
            <w:pPr>
              <w:pStyle w:val="Compact"/>
              <w:jc w:val="left"/>
            </w:pPr>
            <w:r>
              <w:rPr>
                <w:bCs/>
                <w:rFonts w:ascii="Arial" w:hAnsi="Arial"/>
                <w:b/>
                <w:sz w:val="18"/>
              </w:rPr>
              <w:t xml:space="preserve">High</w:t>
            </w:r>
          </w:p>
        </w:tc>
        <w:tc>
          <w:tcPr/>
          <w:p>
            <w:pPr>
              <w:pStyle w:val="Compact"/>
              <w:jc w:val="left"/>
            </w:pPr>
            <w:r>
              <w:rPr>
                <w:rFonts w:ascii="Arial" w:hAnsi="Arial"/>
                <w:sz w:val="18"/>
              </w:rPr>
              <w:t xml:space="preserve">Closing TWI, ACC or STEP buildings means moving whole programs.</w:t>
            </w:r>
          </w:p>
        </w:tc>
      </w:tr>
      <w:tr>
        <w:tc>
          <w:tcPr/>
          <w:p>
            <w:pPr>
              <w:pStyle w:val="Compact"/>
              <w:jc w:val="left"/>
            </w:pPr>
            <w:r>
              <w:rPr>
                <w:rFonts w:ascii="Arial" w:hAnsi="Arial"/>
                <w:sz w:val="18"/>
              </w:rPr>
              <w:t xml:space="preserve">One-time costs and special ed</w:t>
            </w:r>
          </w:p>
        </w:tc>
        <w:tc>
          <w:tcPr/>
          <w:p>
            <w:pPr>
              <w:pStyle w:val="Compact"/>
              <w:jc w:val="left"/>
            </w:pPr>
            <w:r>
              <w:rPr>
                <w:bCs/>
                <w:rFonts w:ascii="Arial" w:hAnsi="Arial"/>
                <w:b/>
                <w:sz w:val="18"/>
              </w:rPr>
              <w:t xml:space="preserve">High</w:t>
            </w:r>
          </w:p>
        </w:tc>
        <w:tc>
          <w:tcPr/>
          <w:p>
            <w:pPr>
              <w:pStyle w:val="Compact"/>
              <w:jc w:val="left"/>
            </w:pPr>
            <w:r>
              <w:rPr>
                <w:rFonts w:ascii="Arial" w:hAnsi="Arial"/>
                <w:sz w:val="18"/>
              </w:rPr>
              <w:t xml:space="preserve">Costs come before savings; IEP services must continue uninterrupted.</w:t>
            </w:r>
          </w:p>
        </w:tc>
      </w:tr>
      <w:tr>
        <w:tc>
          <w:tcPr/>
          <w:p>
            <w:pPr>
              <w:pStyle w:val="Compact"/>
              <w:jc w:val="left"/>
            </w:pPr>
            <w:r>
              <w:rPr>
                <w:rFonts w:ascii="Arial" w:hAnsi="Arial"/>
                <w:sz w:val="18"/>
              </w:rPr>
              <w:t xml:space="preserve">A two-tier system</w:t>
            </w:r>
          </w:p>
        </w:tc>
        <w:tc>
          <w:tcPr/>
          <w:p>
            <w:pPr>
              <w:pStyle w:val="Compact"/>
              <w:jc w:val="left"/>
            </w:pPr>
            <w:r>
              <w:rPr>
                <w:bCs/>
                <w:rFonts w:ascii="Arial" w:hAnsi="Arial"/>
                <w:b/>
                <w:sz w:val="18"/>
              </w:rPr>
              <w:t xml:space="preserve">High</w:t>
            </w:r>
          </w:p>
        </w:tc>
        <w:tc>
          <w:tcPr/>
          <w:p>
            <w:pPr>
              <w:pStyle w:val="Compact"/>
              <w:jc w:val="left"/>
            </w:pPr>
            <w:r>
              <w:rPr>
                <w:rFonts w:ascii="Arial" w:hAnsi="Arial"/>
                <w:sz w:val="18"/>
              </w:rPr>
              <w:t xml:space="preserve">Families who can afford it opt for private school, leaving D65 with fewer resources and less engaged support.</w:t>
            </w:r>
          </w:p>
        </w:tc>
      </w:tr>
      <w:tr>
        <w:tc>
          <w:tcPr/>
          <w:p>
            <w:pPr>
              <w:pStyle w:val="Compact"/>
              <w:jc w:val="left"/>
            </w:pPr>
            <w:r>
              <w:rPr>
                <w:rFonts w:ascii="Arial" w:hAnsi="Arial"/>
                <w:sz w:val="18"/>
              </w:rPr>
              <w:t xml:space="preserve">Transportation costs</w:t>
            </w:r>
          </w:p>
        </w:tc>
        <w:tc>
          <w:tcPr/>
          <w:p>
            <w:pPr>
              <w:pStyle w:val="Compact"/>
              <w:jc w:val="left"/>
            </w:pPr>
            <w:r>
              <w:rPr>
                <w:rFonts w:ascii="Arial" w:hAnsi="Arial"/>
                <w:sz w:val="18"/>
              </w:rPr>
              <w:t xml:space="preserve">Medium</w:t>
            </w:r>
          </w:p>
        </w:tc>
        <w:tc>
          <w:tcPr/>
          <w:p>
            <w:pPr>
              <w:pStyle w:val="Compact"/>
              <w:jc w:val="left"/>
            </w:pPr>
            <w:r>
              <w:rPr>
                <w:rFonts w:ascii="Arial" w:hAnsi="Arial"/>
                <w:sz w:val="18"/>
              </w:rPr>
              <w:t xml:space="preserve">$150–270K a year per closure, 20–35% of building savings.</w:t>
            </w:r>
          </w:p>
        </w:tc>
      </w:tr>
      <w:tr>
        <w:tc>
          <w:tcPr/>
          <w:p>
            <w:pPr>
              <w:pStyle w:val="Compact"/>
              <w:jc w:val="left"/>
            </w:pPr>
            <w:r>
              <w:rPr>
                <w:rFonts w:ascii="Arial" w:hAnsi="Arial"/>
                <w:sz w:val="18"/>
              </w:rPr>
              <w:t xml:space="preserve">Equity</w:t>
            </w:r>
          </w:p>
        </w:tc>
        <w:tc>
          <w:tcPr/>
          <w:p>
            <w:pPr>
              <w:pStyle w:val="Compact"/>
              <w:jc w:val="left"/>
            </w:pPr>
            <w:r>
              <w:rPr>
                <w:rFonts w:ascii="Arial" w:hAnsi="Arial"/>
                <w:sz w:val="18"/>
              </w:rPr>
              <w:t xml:space="preserve">Medium</w:t>
            </w:r>
          </w:p>
        </w:tc>
        <w:tc>
          <w:tcPr/>
          <w:p>
            <w:pPr>
              <w:pStyle w:val="Compact"/>
              <w:jc w:val="left"/>
            </w:pPr>
            <w:r>
              <w:rPr>
                <w:rFonts w:ascii="Arial" w:hAnsi="Arial"/>
                <w:sz w:val="18"/>
              </w:rPr>
              <w:t xml:space="preserve">Closures land on specific neighborhoods and TWI access.</w:t>
            </w:r>
          </w:p>
        </w:tc>
      </w:tr>
      <w:tr>
        <w:tc>
          <w:tcPr/>
          <w:p>
            <w:pPr>
              <w:pStyle w:val="Compact"/>
              <w:jc w:val="left"/>
            </w:pPr>
            <w:r>
              <w:rPr>
                <w:rFonts w:ascii="Arial" w:hAnsi="Arial"/>
                <w:sz w:val="18"/>
              </w:rPr>
              <w:t xml:space="preserve">Attention is finite</w:t>
            </w:r>
          </w:p>
        </w:tc>
        <w:tc>
          <w:tcPr/>
          <w:p>
            <w:pPr>
              <w:pStyle w:val="Compact"/>
              <w:jc w:val="left"/>
            </w:pPr>
            <w:r>
              <w:rPr>
                <w:rFonts w:ascii="Arial" w:hAnsi="Arial"/>
                <w:sz w:val="18"/>
              </w:rPr>
              <w:t xml:space="preserve">Medium</w:t>
            </w:r>
          </w:p>
        </w:tc>
        <w:tc>
          <w:tcPr/>
          <w:p>
            <w:pPr>
              <w:pStyle w:val="Compact"/>
              <w:jc w:val="left"/>
            </w:pPr>
            <w:r>
              <w:rPr>
                <w:rFonts w:ascii="Arial" w:hAnsi="Arial"/>
                <w:sz w:val="18"/>
              </w:rPr>
              <w:t xml:space="preserve">Closure planning takes time that staffing decisions need.</w:t>
            </w:r>
          </w:p>
        </w:tc>
      </w:tr>
    </w:tbl>
    <w:bookmarkEnd w:id="22"/>
    <w:bookmarkStart w:id="27" w:name="class-size-and-the-student-experience"/>
    <w:p>
      <w:pPr>
        <w:pStyle w:val="Heading2"/>
      </w:pPr>
      <w:r>
        <w:t xml:space="preserve">Class size and the student experience</w:t>
      </w:r>
    </w:p>
    <w:bookmarkStart w:id="26" w:name="X3ac225c03566070d3d4c2deaced38c2b9f16836"/>
    <w:p>
      <w:pPr>
        <w:pStyle w:val="Heading3"/>
      </w:pPr>
      <w:r>
        <w:t xml:space="preserve">A child's class size depends on their school and grade</w:t>
      </w:r>
    </w:p>
    <w:p>
      <w:pPr>
        <w:pStyle w:val="FirstParagraph"/>
      </w:pPr>
      <w:r>
        <w:drawing>
          <wp:inline>
            <wp:extent cx="6035040" cy="3511295"/>
            <wp:effectExtent b="0" l="0" r="0" t="0"/>
            <wp:docPr descr="Average class size by grade at each K–5 school, one dot per grade" title="" id="24" name="Picture"/>
            <a:graphic>
              <a:graphicData uri="http://schemas.openxmlformats.org/drawingml/2006/picture">
                <pic:pic>
                  <pic:nvPicPr>
                    <pic:cNvPr descr="images/budget_handout/class_size_by_school_v2.png" id="25" name="Picture"/>
                    <pic:cNvPicPr>
                      <a:picLocks noChangeArrowheads="1" noChangeAspect="1"/>
                    </pic:cNvPicPr>
                  </pic:nvPicPr>
                  <pic:blipFill>
                    <a:blip r:embed="rId23"/>
                    <a:stretch>
                      <a:fillRect/>
                    </a:stretch>
                  </pic:blipFill>
                  <pic:spPr bwMode="auto">
                    <a:xfrm>
                      <a:off x="0" y="0"/>
                      <a:ext cx="6035040" cy="3511295"/>
                    </a:xfrm>
                    <a:prstGeom prst="rect">
                      <a:avLst/>
                    </a:prstGeom>
                    <a:noFill/>
                    <a:ln w="9525">
                      <a:noFill/>
                      <a:headEnd/>
                      <a:tailEnd/>
                    </a:ln>
                  </pic:spPr>
                </pic:pic>
              </a:graphicData>
            </a:graphic>
          </wp:inline>
        </w:drawing>
      </w:r>
    </w:p>
    <w:p>
      <w:pPr>
        <w:numPr>
          <w:ilvl w:val="0"/>
          <w:numId w:val="1004"/>
        </w:numPr>
        <w:pStyle w:val="Compact"/>
      </w:pPr>
      <w:r>
        <w:rPr>
          <w:bCs/>
          <w:b/>
        </w:rPr>
        <w:t xml:space="preserve">Grade averages run from 13 to 26 students per class.</w:t>
      </w:r>
      <w:r>
        <w:t xml:space="preserve"> </w:t>
      </w:r>
      <w:r>
        <w:t xml:space="preserve">Of the 66 K–5 school-grades, 12 average under 16 and 16 average over 21.</w:t>
      </w:r>
    </w:p>
    <w:p>
      <w:pPr>
        <w:numPr>
          <w:ilvl w:val="0"/>
          <w:numId w:val="1004"/>
        </w:numPr>
        <w:pStyle w:val="Compact"/>
      </w:pPr>
      <w:r>
        <w:rPr>
          <w:bCs/>
          <w:b/>
        </w:rPr>
        <w:t xml:space="preserve">Same grade, different school.</w:t>
      </w:r>
      <w:r>
        <w:t xml:space="preserve"> </w:t>
      </w:r>
      <w:r>
        <w:t xml:space="preserve">A 3rd grader at Dawes or Washington is in a class of about 16; at Lincoln, about 21–22; at Orrington, 26. Orrington's 3rd grade has 52 students in 2 sections, above the 24 cap, which is worth confirming with the district.</w:t>
      </w:r>
    </w:p>
    <w:p>
      <w:pPr>
        <w:numPr>
          <w:ilvl w:val="0"/>
          <w:numId w:val="1004"/>
        </w:numPr>
        <w:pStyle w:val="Compact"/>
      </w:pPr>
      <w:r>
        <w:rPr>
          <w:bCs/>
          <w:b/>
        </w:rPr>
        <w:t xml:space="preserve">Fuller buildings don't have bigger classes</w:t>
      </w:r>
      <w:r>
        <w:t xml:space="preserve"> </w:t>
      </w:r>
      <w:r>
        <w:t xml:space="preserve">(r = −0.14). The spread comes from how grades divide into classes and from TWI and ACC strands.</w:t>
      </w:r>
    </w:p>
    <w:p>
      <w:pPr>
        <w:pStyle w:val="FirstParagraph"/>
      </w:pPr>
      <w:r>
        <w:rPr>
          <w:iCs/>
          <w:i/>
        </w:rPr>
        <w:t xml:space="preserve">Each dot is one grade's average class size: students in the grade ÷ sections. The section list doesn't give students per class, so individual classes may be larger or smaller. Sections: District 65 FY27 K–5 section list, received by email October 1, 2026. Students: data.district65.net, pulled October 1, 2026.</w:t>
      </w:r>
    </w:p>
    <w:p>
      <w:r>
        <w:pict>
          <v:rect style="width:0;height:1.5pt" o:hralign="center" o:hrstd="t" o:hr="t"/>
        </w:pict>
      </w:r>
    </w:p>
    <w:bookmarkEnd w:id="26"/>
    <w:bookmarkEnd w:id="27"/>
    <w:bookmarkStart w:id="36" w:name="Xe06f42fecd76f1a0692ed959469b7a2d112ba52"/>
    <w:p>
      <w:pPr>
        <w:pStyle w:val="Heading2"/>
      </w:pPr>
      <w:r>
        <w:t xml:space="preserve">01 · Building costs: which buildings cost the most to run?</w:t>
      </w:r>
    </w:p>
    <w:p>
      <w:pPr>
        <w:pStyle w:val="FirstParagraph"/>
      </w:pPr>
      <w:r>
        <w:t xml:space="preserve">Every building carries a principal, an office and custodians whatever its size, so emptier buildings cost more per student. At the average closure-scenario enrollment, Oakton, Dawes and Lincolnwood cost the most per student; Lincoln and Orrington the least.</w:t>
      </w:r>
    </w:p>
    <w:p>
      <w:pPr>
        <w:pStyle w:val="BodyText"/>
      </w:pPr>
      <w:r>
        <w:drawing>
          <wp:inline>
            <wp:extent cx="6035040" cy="2591971"/>
            <wp:effectExtent b="0" l="0" r="0" t="0"/>
            <wp:docPr descr="Building cost per student: today, each closure scenario, and the average" title="" id="29" name="Picture"/>
            <a:graphic>
              <a:graphicData uri="http://schemas.openxmlformats.org/drawingml/2006/picture">
                <pic:pic>
                  <pic:nvPicPr>
                    <pic:cNvPr descr="images/budget_handout/building_cost_per_student.png" id="30" name="Picture"/>
                    <pic:cNvPicPr>
                      <a:picLocks noChangeArrowheads="1" noChangeAspect="1"/>
                    </pic:cNvPicPr>
                  </pic:nvPicPr>
                  <pic:blipFill>
                    <a:blip r:embed="rId28"/>
                    <a:stretch>
                      <a:fillRect/>
                    </a:stretch>
                  </pic:blipFill>
                  <pic:spPr bwMode="auto">
                    <a:xfrm>
                      <a:off x="0" y="0"/>
                      <a:ext cx="6035040" cy="2591971"/>
                    </a:xfrm>
                    <a:prstGeom prst="rect">
                      <a:avLst/>
                    </a:prstGeom>
                    <a:noFill/>
                    <a:ln w="9525">
                      <a:noFill/>
                      <a:headEnd/>
                      <a:tailEnd/>
                    </a:ln>
                  </pic:spPr>
                </pic:pic>
              </a:graphicData>
            </a:graphic>
          </wp:inline>
        </w:drawing>
      </w:r>
    </w:p>
    <w:tbl>
      <w:tblPr>
        <w:tblStyle w:val="Table"/>
        <w:tblLook w:firstRow="1" w:lastRow="0" w:firstColumn="0" w:lastColumn="0" w:noHBand="0" w:noVBand="0" w:val="0020"/>
        <w:jc w:val="start"/>
        <w:tblBorders>
          <w:top w:val="single" w:sz="4" w:color="BFBFBF"/>
          <w:left w:val="single" w:sz="4" w:color="BFBFBF"/>
          <w:bottom w:val="single" w:sz="4" w:color="BFBFBF"/>
          <w:right w:val="single" w:sz="4" w:color="BFBFBF"/>
          <w:insideH w:val="single" w:sz="4" w:color="BFBFBF"/>
          <w:insideV w:val="single" w:sz="4" w:color="BFBFBF"/>
        </w:tblBorders>
        <w:tblW w:w="5000" w:type="pct"/>
        <w:tblLayout w:type="autofit"/>
      </w:tblPr>
      <w:tblGrid>
        <w:gridCol/>
        <w:gridCol/>
        <w:gridCol/>
        <w:gridCol/>
        <w:gridCol/>
        <w:gridCol/>
        <w:gridCol/>
        <w:gridCol/>
        <w:gridCol/>
      </w:tblGrid>
      <w:tr>
        <w:trPr>
          <w:tblHeader w:val="true"/>
        </w:trPr>
        <w:tc>
          <w:tcPr>
            <w:shd w:val="clear" w:fill="E8ECF3"/>
          </w:tcPr>
          <w:p>
            <w:pPr>
              <w:pStyle w:val="Compact"/>
              <w:jc w:val="left"/>
            </w:pPr>
            <w:r>
              <w:rPr>
                <w:rFonts w:ascii="Arial" w:hAnsi="Arial"/>
                <w:b/>
                <w:sz w:val="18"/>
              </w:rPr>
              <w:t xml:space="preserve">Building</w:t>
            </w:r>
          </w:p>
        </w:tc>
        <w:tc>
          <w:tcPr>
            <w:shd w:val="clear" w:fill="E8ECF3"/>
          </w:tcPr>
          <w:p>
            <w:pPr>
              <w:pStyle w:val="Compact"/>
              <w:jc w:val="right"/>
            </w:pPr>
            <w:r>
              <w:rPr>
                <w:rFonts w:ascii="Arial" w:hAnsi="Arial"/>
                <w:b/>
                <w:sz w:val="18"/>
              </w:rPr>
              <w:t xml:space="preserve">Students</w:t>
            </w:r>
          </w:p>
        </w:tc>
        <w:tc>
          <w:tcPr>
            <w:shd w:val="clear" w:fill="E8ECF3"/>
          </w:tcPr>
          <w:p>
            <w:pPr>
              <w:pStyle w:val="Compact"/>
              <w:jc w:val="left"/>
            </w:pPr>
            <w:r>
              <w:rPr>
                <w:rFonts w:ascii="Arial" w:hAnsi="Arial"/>
                <w:b/>
                <w:sz w:val="18"/>
              </w:rPr>
              <w:t xml:space="preserve">Utilization now → avg*</w:t>
            </w:r>
          </w:p>
        </w:tc>
        <w:tc>
          <w:tcPr>
            <w:shd w:val="clear" w:fill="E8ECF3"/>
          </w:tcPr>
          <w:p>
            <w:pPr>
              <w:pStyle w:val="Compact"/>
              <w:jc w:val="right"/>
            </w:pPr>
            <w:r>
              <w:rPr>
                <w:rFonts w:ascii="Arial" w:hAnsi="Arial"/>
                <w:b/>
                <w:sz w:val="18"/>
              </w:rPr>
              <w:t xml:space="preserve">Principal + office</w:t>
            </w:r>
          </w:p>
        </w:tc>
        <w:tc>
          <w:tcPr>
            <w:shd w:val="clear" w:fill="E8ECF3"/>
          </w:tcPr>
          <w:p>
            <w:pPr>
              <w:pStyle w:val="Compact"/>
              <w:jc w:val="right"/>
            </w:pPr>
            <w:r>
              <w:rPr>
                <w:rFonts w:ascii="Arial" w:hAnsi="Arial"/>
                <w:b/>
                <w:sz w:val="18"/>
              </w:rPr>
              <w:t xml:space="preserve">Custodians</w:t>
            </w:r>
          </w:p>
        </w:tc>
        <w:tc>
          <w:tcPr>
            <w:shd w:val="clear" w:fill="E8ECF3"/>
          </w:tcPr>
          <w:p>
            <w:pPr>
              <w:pStyle w:val="Compact"/>
              <w:jc w:val="right"/>
            </w:pPr>
            <w:r>
              <w:rPr>
                <w:rFonts w:ascii="Arial" w:hAnsi="Arial"/>
                <w:b/>
                <w:sz w:val="18"/>
              </w:rPr>
              <w:t xml:space="preserve">Utilities</w:t>
            </w:r>
          </w:p>
        </w:tc>
        <w:tc>
          <w:tcPr>
            <w:shd w:val="clear" w:fill="E8ECF3"/>
          </w:tcPr>
          <w:p>
            <w:pPr>
              <w:pStyle w:val="Compact"/>
              <w:jc w:val="right"/>
            </w:pPr>
            <w:r>
              <w:rPr>
                <w:rFonts w:ascii="Arial" w:hAnsi="Arial"/>
                <w:b/>
                <w:sz w:val="18"/>
              </w:rPr>
              <w:t xml:space="preserve">Total a year</w:t>
            </w:r>
          </w:p>
        </w:tc>
        <w:tc>
          <w:tcPr>
            <w:shd w:val="clear" w:fill="E8ECF3"/>
          </w:tcPr>
          <w:p>
            <w:pPr>
              <w:pStyle w:val="Compact"/>
              <w:jc w:val="right"/>
            </w:pPr>
            <w:r>
              <w:rPr>
                <w:rFonts w:ascii="Arial" w:hAnsi="Arial"/>
                <w:b/>
                <w:sz w:val="18"/>
              </w:rPr>
              <w:t xml:space="preserve">Per student now</w:t>
            </w:r>
          </w:p>
        </w:tc>
        <w:tc>
          <w:tcPr>
            <w:shd w:val="clear" w:fill="E8ECF3"/>
          </w:tcPr>
          <w:p>
            <w:pPr>
              <w:pStyle w:val="Compact"/>
              <w:jc w:val="right"/>
            </w:pPr>
            <w:r>
              <w:rPr>
                <w:rFonts w:ascii="Arial" w:hAnsi="Arial"/>
                <w:b/>
                <w:sz w:val="18"/>
              </w:rPr>
              <w:t xml:space="preserve">Per student, scenario avg*</w:t>
            </w:r>
          </w:p>
        </w:tc>
      </w:tr>
      <w:tr>
        <w:tc>
          <w:tcPr/>
          <w:p>
            <w:pPr>
              <w:pStyle w:val="Compact"/>
              <w:jc w:val="left"/>
            </w:pPr>
            <w:r>
              <w:rPr>
                <w:rFonts w:ascii="Arial" w:hAnsi="Arial"/>
                <w:sz w:val="18"/>
              </w:rPr>
              <w:t xml:space="preserve">Oakton</w:t>
            </w:r>
          </w:p>
        </w:tc>
        <w:tc>
          <w:tcPr/>
          <w:p>
            <w:pPr>
              <w:pStyle w:val="Compact"/>
              <w:jc w:val="right"/>
            </w:pPr>
            <w:r>
              <w:rPr>
                <w:rFonts w:ascii="Arial" w:hAnsi="Arial"/>
                <w:sz w:val="18"/>
              </w:rPr>
              <w:t xml:space="preserve">367</w:t>
            </w:r>
          </w:p>
        </w:tc>
        <w:tc>
          <w:tcPr/>
          <w:p>
            <w:pPr>
              <w:pStyle w:val="Compact"/>
              <w:jc w:val="left"/>
            </w:pPr>
            <w:r>
              <w:rPr>
                <w:rFonts w:ascii="Arial" w:hAnsi="Arial"/>
                <w:sz w:val="18"/>
              </w:rPr>
              <w:t xml:space="preserve">79% → 84%</w:t>
            </w:r>
          </w:p>
        </w:tc>
        <w:tc>
          <w:tcPr/>
          <w:p>
            <w:pPr>
              <w:pStyle w:val="Compact"/>
              <w:jc w:val="right"/>
            </w:pPr>
            <w:r>
              <w:rPr>
                <w:rFonts w:ascii="Arial" w:hAnsi="Arial"/>
                <w:sz w:val="18"/>
              </w:rPr>
              <w:t xml:space="preserve">$241K</w:t>
            </w:r>
          </w:p>
        </w:tc>
        <w:tc>
          <w:tcPr/>
          <w:p>
            <w:pPr>
              <w:pStyle w:val="Compact"/>
              <w:jc w:val="right"/>
            </w:pPr>
            <w:r>
              <w:rPr>
                <w:rFonts w:ascii="Arial" w:hAnsi="Arial"/>
                <w:sz w:val="18"/>
              </w:rPr>
              <w:t xml:space="preserve">$345K</w:t>
            </w:r>
          </w:p>
        </w:tc>
        <w:tc>
          <w:tcPr/>
          <w:p>
            <w:pPr>
              <w:pStyle w:val="Compact"/>
              <w:jc w:val="right"/>
            </w:pPr>
            <w:r>
              <w:rPr>
                <w:rFonts w:ascii="Arial" w:hAnsi="Arial"/>
                <w:sz w:val="18"/>
              </w:rPr>
              <w:t xml:space="preserve">$66K</w:t>
            </w:r>
          </w:p>
        </w:tc>
        <w:tc>
          <w:tcPr/>
          <w:p>
            <w:pPr>
              <w:pStyle w:val="Compact"/>
              <w:jc w:val="right"/>
            </w:pPr>
            <w:r>
              <w:rPr>
                <w:rFonts w:ascii="Arial" w:hAnsi="Arial"/>
                <w:sz w:val="18"/>
              </w:rPr>
              <w:t xml:space="preserve">$652K</w:t>
            </w:r>
          </w:p>
        </w:tc>
        <w:tc>
          <w:tcPr/>
          <w:p>
            <w:pPr>
              <w:pStyle w:val="Compact"/>
              <w:jc w:val="right"/>
            </w:pPr>
            <w:r>
              <w:rPr>
                <w:rFonts w:ascii="Arial" w:hAnsi="Arial"/>
                <w:sz w:val="18"/>
              </w:rPr>
              <w:t xml:space="preserve">$1,778</w:t>
            </w:r>
          </w:p>
        </w:tc>
        <w:tc>
          <w:tcPr/>
          <w:p>
            <w:pPr>
              <w:pStyle w:val="Compact"/>
              <w:jc w:val="right"/>
            </w:pPr>
            <w:r>
              <w:rPr>
                <w:rFonts w:ascii="Arial" w:hAnsi="Arial"/>
                <w:sz w:val="18"/>
              </w:rPr>
              <w:t xml:space="preserve">$1,673</w:t>
            </w:r>
          </w:p>
        </w:tc>
      </w:tr>
      <w:tr>
        <w:tc>
          <w:tcPr/>
          <w:p>
            <w:pPr>
              <w:pStyle w:val="Compact"/>
              <w:jc w:val="left"/>
            </w:pPr>
            <w:r>
              <w:rPr>
                <w:rFonts w:ascii="Arial" w:hAnsi="Arial"/>
                <w:sz w:val="18"/>
              </w:rPr>
              <w:t xml:space="preserve">Dawes</w:t>
            </w:r>
          </w:p>
        </w:tc>
        <w:tc>
          <w:tcPr/>
          <w:p>
            <w:pPr>
              <w:pStyle w:val="Compact"/>
              <w:jc w:val="right"/>
            </w:pPr>
            <w:r>
              <w:rPr>
                <w:rFonts w:ascii="Arial" w:hAnsi="Arial"/>
                <w:sz w:val="18"/>
              </w:rPr>
              <w:t xml:space="preserve">288</w:t>
            </w:r>
          </w:p>
        </w:tc>
        <w:tc>
          <w:tcPr/>
          <w:p>
            <w:pPr>
              <w:pStyle w:val="Compact"/>
              <w:jc w:val="left"/>
            </w:pPr>
            <w:r>
              <w:rPr>
                <w:rFonts w:ascii="Arial" w:hAnsi="Arial"/>
                <w:sz w:val="18"/>
              </w:rPr>
              <w:t xml:space="preserve">67% → 75%</w:t>
            </w:r>
          </w:p>
        </w:tc>
        <w:tc>
          <w:tcPr/>
          <w:p>
            <w:pPr>
              <w:pStyle w:val="Compact"/>
              <w:jc w:val="right"/>
            </w:pPr>
            <w:r>
              <w:rPr>
                <w:rFonts w:ascii="Arial" w:hAnsi="Arial"/>
                <w:sz w:val="18"/>
              </w:rPr>
              <w:t xml:space="preserve">$241K</w:t>
            </w:r>
          </w:p>
        </w:tc>
        <w:tc>
          <w:tcPr/>
          <w:p>
            <w:pPr>
              <w:pStyle w:val="Compact"/>
              <w:jc w:val="right"/>
            </w:pPr>
            <w:r>
              <w:rPr>
                <w:rFonts w:ascii="Arial" w:hAnsi="Arial"/>
                <w:sz w:val="18"/>
              </w:rPr>
              <w:t xml:space="preserve">$209K</w:t>
            </w:r>
          </w:p>
        </w:tc>
        <w:tc>
          <w:tcPr/>
          <w:p>
            <w:pPr>
              <w:pStyle w:val="Compact"/>
              <w:jc w:val="right"/>
            </w:pPr>
            <w:r>
              <w:rPr>
                <w:rFonts w:ascii="Arial" w:hAnsi="Arial"/>
                <w:sz w:val="18"/>
              </w:rPr>
              <w:t xml:space="preserve">$58K</w:t>
            </w:r>
          </w:p>
        </w:tc>
        <w:tc>
          <w:tcPr/>
          <w:p>
            <w:pPr>
              <w:pStyle w:val="Compact"/>
              <w:jc w:val="right"/>
            </w:pPr>
            <w:r>
              <w:rPr>
                <w:rFonts w:ascii="Arial" w:hAnsi="Arial"/>
                <w:sz w:val="18"/>
              </w:rPr>
              <w:t xml:space="preserve">$507K</w:t>
            </w:r>
          </w:p>
        </w:tc>
        <w:tc>
          <w:tcPr/>
          <w:p>
            <w:pPr>
              <w:pStyle w:val="Compact"/>
              <w:jc w:val="right"/>
            </w:pPr>
            <w:r>
              <w:rPr>
                <w:rFonts w:ascii="Arial" w:hAnsi="Arial"/>
                <w:sz w:val="18"/>
              </w:rPr>
              <w:t xml:space="preserve">$1,761</w:t>
            </w:r>
          </w:p>
        </w:tc>
        <w:tc>
          <w:tcPr/>
          <w:p>
            <w:pPr>
              <w:pStyle w:val="Compact"/>
              <w:jc w:val="right"/>
            </w:pPr>
            <w:r>
              <w:rPr>
                <w:rFonts w:ascii="Arial" w:hAnsi="Arial"/>
                <w:sz w:val="18"/>
              </w:rPr>
              <w:t xml:space="preserve">$1,555</w:t>
            </w:r>
          </w:p>
        </w:tc>
      </w:tr>
      <w:tr>
        <w:tc>
          <w:tcPr/>
          <w:p>
            <w:pPr>
              <w:pStyle w:val="Compact"/>
              <w:jc w:val="left"/>
            </w:pPr>
            <w:r>
              <w:rPr>
                <w:rFonts w:ascii="Arial" w:hAnsi="Arial"/>
                <w:sz w:val="18"/>
              </w:rPr>
              <w:t xml:space="preserve">Lincolnwood</w:t>
            </w:r>
          </w:p>
        </w:tc>
        <w:tc>
          <w:tcPr/>
          <w:p>
            <w:pPr>
              <w:pStyle w:val="Compact"/>
              <w:jc w:val="right"/>
            </w:pPr>
            <w:r>
              <w:rPr>
                <w:rFonts w:ascii="Arial" w:hAnsi="Arial"/>
                <w:sz w:val="18"/>
              </w:rPr>
              <w:t xml:space="preserve">331</w:t>
            </w:r>
          </w:p>
        </w:tc>
        <w:tc>
          <w:tcPr/>
          <w:p>
            <w:pPr>
              <w:pStyle w:val="Compact"/>
              <w:jc w:val="left"/>
            </w:pPr>
            <w:r>
              <w:rPr>
                <w:rFonts w:ascii="Arial" w:hAnsi="Arial"/>
                <w:sz w:val="18"/>
              </w:rPr>
              <w:t xml:space="preserve">77% → 77%</w:t>
            </w:r>
          </w:p>
        </w:tc>
        <w:tc>
          <w:tcPr/>
          <w:p>
            <w:pPr>
              <w:pStyle w:val="Compact"/>
              <w:jc w:val="right"/>
            </w:pPr>
            <w:r>
              <w:rPr>
                <w:rFonts w:ascii="Arial" w:hAnsi="Arial"/>
                <w:sz w:val="18"/>
              </w:rPr>
              <w:t xml:space="preserve">$241K</w:t>
            </w:r>
          </w:p>
        </w:tc>
        <w:tc>
          <w:tcPr/>
          <w:p>
            <w:pPr>
              <w:pStyle w:val="Compact"/>
              <w:jc w:val="right"/>
            </w:pPr>
            <w:r>
              <w:rPr>
                <w:rFonts w:ascii="Arial" w:hAnsi="Arial"/>
                <w:sz w:val="18"/>
              </w:rPr>
              <w:t xml:space="preserve">$221K</w:t>
            </w:r>
          </w:p>
        </w:tc>
        <w:tc>
          <w:tcPr/>
          <w:p>
            <w:pPr>
              <w:pStyle w:val="Compact"/>
              <w:jc w:val="right"/>
            </w:pPr>
            <w:r>
              <w:rPr>
                <w:rFonts w:ascii="Arial" w:hAnsi="Arial"/>
                <w:sz w:val="18"/>
              </w:rPr>
              <w:t xml:space="preserve">$50K</w:t>
            </w:r>
          </w:p>
        </w:tc>
        <w:tc>
          <w:tcPr/>
          <w:p>
            <w:pPr>
              <w:pStyle w:val="Compact"/>
              <w:jc w:val="right"/>
            </w:pPr>
            <w:r>
              <w:rPr>
                <w:rFonts w:ascii="Arial" w:hAnsi="Arial"/>
                <w:sz w:val="18"/>
              </w:rPr>
              <w:t xml:space="preserve">$512K</w:t>
            </w:r>
          </w:p>
        </w:tc>
        <w:tc>
          <w:tcPr/>
          <w:p>
            <w:pPr>
              <w:pStyle w:val="Compact"/>
              <w:jc w:val="right"/>
            </w:pPr>
            <w:r>
              <w:rPr>
                <w:rFonts w:ascii="Arial" w:hAnsi="Arial"/>
                <w:sz w:val="18"/>
              </w:rPr>
              <w:t xml:space="preserve">$1,546</w:t>
            </w:r>
          </w:p>
        </w:tc>
        <w:tc>
          <w:tcPr/>
          <w:p>
            <w:pPr>
              <w:pStyle w:val="Compact"/>
              <w:jc w:val="right"/>
            </w:pPr>
            <w:r>
              <w:rPr>
                <w:rFonts w:ascii="Arial" w:hAnsi="Arial"/>
                <w:sz w:val="18"/>
              </w:rPr>
              <w:t xml:space="preserve">$1,541</w:t>
            </w:r>
          </w:p>
        </w:tc>
      </w:tr>
      <w:tr>
        <w:tc>
          <w:tcPr/>
          <w:p>
            <w:pPr>
              <w:pStyle w:val="Compact"/>
              <w:jc w:val="left"/>
            </w:pPr>
            <w:r>
              <w:rPr>
                <w:rFonts w:ascii="Arial" w:hAnsi="Arial"/>
                <w:sz w:val="18"/>
              </w:rPr>
              <w:t xml:space="preserve">Willard</w:t>
            </w:r>
          </w:p>
        </w:tc>
        <w:tc>
          <w:tcPr/>
          <w:p>
            <w:pPr>
              <w:pStyle w:val="Compact"/>
              <w:jc w:val="right"/>
            </w:pPr>
            <w:r>
              <w:rPr>
                <w:rFonts w:ascii="Arial" w:hAnsi="Arial"/>
                <w:sz w:val="18"/>
              </w:rPr>
              <w:t xml:space="preserve">273</w:t>
            </w:r>
          </w:p>
        </w:tc>
        <w:tc>
          <w:tcPr/>
          <w:p>
            <w:pPr>
              <w:pStyle w:val="Compact"/>
              <w:jc w:val="left"/>
            </w:pPr>
            <w:r>
              <w:rPr>
                <w:rFonts w:ascii="Arial" w:hAnsi="Arial"/>
                <w:sz w:val="18"/>
              </w:rPr>
              <w:t xml:space="preserve">51% → 65%</w:t>
            </w:r>
          </w:p>
        </w:tc>
        <w:tc>
          <w:tcPr/>
          <w:p>
            <w:pPr>
              <w:pStyle w:val="Compact"/>
              <w:jc w:val="right"/>
            </w:pPr>
            <w:r>
              <w:rPr>
                <w:rFonts w:ascii="Arial" w:hAnsi="Arial"/>
                <w:sz w:val="18"/>
              </w:rPr>
              <w:t xml:space="preserve">$241K</w:t>
            </w:r>
          </w:p>
        </w:tc>
        <w:tc>
          <w:tcPr/>
          <w:p>
            <w:pPr>
              <w:pStyle w:val="Compact"/>
              <w:jc w:val="right"/>
            </w:pPr>
            <w:r>
              <w:rPr>
                <w:rFonts w:ascii="Arial" w:hAnsi="Arial"/>
                <w:sz w:val="18"/>
              </w:rPr>
              <w:t xml:space="preserve">$227K</w:t>
            </w:r>
          </w:p>
        </w:tc>
        <w:tc>
          <w:tcPr/>
          <w:p>
            <w:pPr>
              <w:pStyle w:val="Compact"/>
              <w:jc w:val="right"/>
            </w:pPr>
            <w:r>
              <w:rPr>
                <w:rFonts w:ascii="Arial" w:hAnsi="Arial"/>
                <w:sz w:val="18"/>
              </w:rPr>
              <w:t xml:space="preserve">$62K</w:t>
            </w:r>
          </w:p>
        </w:tc>
        <w:tc>
          <w:tcPr/>
          <w:p>
            <w:pPr>
              <w:pStyle w:val="Compact"/>
              <w:jc w:val="right"/>
            </w:pPr>
            <w:r>
              <w:rPr>
                <w:rFonts w:ascii="Arial" w:hAnsi="Arial"/>
                <w:sz w:val="18"/>
              </w:rPr>
              <w:t xml:space="preserve">$530K</w:t>
            </w:r>
          </w:p>
        </w:tc>
        <w:tc>
          <w:tcPr/>
          <w:p>
            <w:pPr>
              <w:pStyle w:val="Compact"/>
              <w:jc w:val="right"/>
            </w:pPr>
            <w:r>
              <w:rPr>
                <w:rFonts w:ascii="Arial" w:hAnsi="Arial"/>
                <w:sz w:val="18"/>
              </w:rPr>
              <w:t xml:space="preserve">$1,940</w:t>
            </w:r>
          </w:p>
        </w:tc>
        <w:tc>
          <w:tcPr/>
          <w:p>
            <w:pPr>
              <w:pStyle w:val="Compact"/>
              <w:jc w:val="right"/>
            </w:pPr>
            <w:r>
              <w:rPr>
                <w:rFonts w:ascii="Arial" w:hAnsi="Arial"/>
                <w:sz w:val="18"/>
              </w:rPr>
              <w:t xml:space="preserve">$1,534</w:t>
            </w:r>
          </w:p>
        </w:tc>
      </w:tr>
      <w:tr>
        <w:tc>
          <w:tcPr/>
          <w:p>
            <w:pPr>
              <w:pStyle w:val="Compact"/>
              <w:jc w:val="left"/>
            </w:pPr>
            <w:r>
              <w:rPr>
                <w:rFonts w:ascii="Arial" w:hAnsi="Arial"/>
                <w:sz w:val="18"/>
              </w:rPr>
              <w:t xml:space="preserve">Washington</w:t>
            </w:r>
          </w:p>
        </w:tc>
        <w:tc>
          <w:tcPr/>
          <w:p>
            <w:pPr>
              <w:pStyle w:val="Compact"/>
              <w:jc w:val="right"/>
            </w:pPr>
            <w:r>
              <w:rPr>
                <w:rFonts w:ascii="Arial" w:hAnsi="Arial"/>
                <w:sz w:val="18"/>
              </w:rPr>
              <w:t xml:space="preserve">387</w:t>
            </w:r>
          </w:p>
        </w:tc>
        <w:tc>
          <w:tcPr/>
          <w:p>
            <w:pPr>
              <w:pStyle w:val="Compact"/>
              <w:jc w:val="left"/>
            </w:pPr>
            <w:r>
              <w:rPr>
                <w:rFonts w:ascii="Arial" w:hAnsi="Arial"/>
                <w:sz w:val="18"/>
              </w:rPr>
              <w:t xml:space="preserve">73% → 75%</w:t>
            </w:r>
          </w:p>
        </w:tc>
        <w:tc>
          <w:tcPr/>
          <w:p>
            <w:pPr>
              <w:pStyle w:val="Compact"/>
              <w:jc w:val="right"/>
            </w:pPr>
            <w:r>
              <w:rPr>
                <w:rFonts w:ascii="Arial" w:hAnsi="Arial"/>
                <w:sz w:val="18"/>
              </w:rPr>
              <w:t xml:space="preserve">$241K</w:t>
            </w:r>
          </w:p>
        </w:tc>
        <w:tc>
          <w:tcPr/>
          <w:p>
            <w:pPr>
              <w:pStyle w:val="Compact"/>
              <w:jc w:val="right"/>
            </w:pPr>
            <w:r>
              <w:rPr>
                <w:rFonts w:ascii="Arial" w:hAnsi="Arial"/>
                <w:sz w:val="18"/>
              </w:rPr>
              <w:t xml:space="preserve">$278K</w:t>
            </w:r>
          </w:p>
        </w:tc>
        <w:tc>
          <w:tcPr/>
          <w:p>
            <w:pPr>
              <w:pStyle w:val="Compact"/>
              <w:jc w:val="right"/>
            </w:pPr>
            <w:r>
              <w:rPr>
                <w:rFonts w:ascii="Arial" w:hAnsi="Arial"/>
                <w:sz w:val="18"/>
              </w:rPr>
              <w:t xml:space="preserve">$90K</w:t>
            </w:r>
          </w:p>
        </w:tc>
        <w:tc>
          <w:tcPr/>
          <w:p>
            <w:pPr>
              <w:pStyle w:val="Compact"/>
              <w:jc w:val="right"/>
            </w:pPr>
            <w:r>
              <w:rPr>
                <w:rFonts w:ascii="Arial" w:hAnsi="Arial"/>
                <w:sz w:val="18"/>
              </w:rPr>
              <w:t xml:space="preserve">$608K</w:t>
            </w:r>
          </w:p>
        </w:tc>
        <w:tc>
          <w:tcPr/>
          <w:p>
            <w:pPr>
              <w:pStyle w:val="Compact"/>
              <w:jc w:val="right"/>
            </w:pPr>
            <w:r>
              <w:rPr>
                <w:rFonts w:ascii="Arial" w:hAnsi="Arial"/>
                <w:sz w:val="18"/>
              </w:rPr>
              <w:t xml:space="preserve">$1,571</w:t>
            </w:r>
          </w:p>
        </w:tc>
        <w:tc>
          <w:tcPr/>
          <w:p>
            <w:pPr>
              <w:pStyle w:val="Compact"/>
              <w:jc w:val="right"/>
            </w:pPr>
            <w:r>
              <w:rPr>
                <w:rFonts w:ascii="Arial" w:hAnsi="Arial"/>
                <w:sz w:val="18"/>
              </w:rPr>
              <w:t xml:space="preserve">$1,528</w:t>
            </w:r>
          </w:p>
        </w:tc>
      </w:tr>
      <w:tr>
        <w:tc>
          <w:tcPr/>
          <w:p>
            <w:pPr>
              <w:pStyle w:val="Compact"/>
              <w:jc w:val="left"/>
            </w:pPr>
            <w:r>
              <w:rPr>
                <w:rFonts w:ascii="Arial" w:hAnsi="Arial"/>
                <w:sz w:val="18"/>
              </w:rPr>
              <w:t xml:space="preserve">Dewey</w:t>
            </w:r>
          </w:p>
        </w:tc>
        <w:tc>
          <w:tcPr/>
          <w:p>
            <w:pPr>
              <w:pStyle w:val="Compact"/>
              <w:jc w:val="right"/>
            </w:pPr>
            <w:r>
              <w:rPr>
                <w:rFonts w:ascii="Arial" w:hAnsi="Arial"/>
                <w:sz w:val="18"/>
              </w:rPr>
              <w:t xml:space="preserve">315</w:t>
            </w:r>
          </w:p>
        </w:tc>
        <w:tc>
          <w:tcPr/>
          <w:p>
            <w:pPr>
              <w:pStyle w:val="Compact"/>
              <w:jc w:val="left"/>
            </w:pPr>
            <w:r>
              <w:rPr>
                <w:rFonts w:ascii="Arial" w:hAnsi="Arial"/>
                <w:sz w:val="18"/>
              </w:rPr>
              <w:t xml:space="preserve">59% → 67%</w:t>
            </w:r>
          </w:p>
        </w:tc>
        <w:tc>
          <w:tcPr/>
          <w:p>
            <w:pPr>
              <w:pStyle w:val="Compact"/>
              <w:jc w:val="right"/>
            </w:pPr>
            <w:r>
              <w:rPr>
                <w:rFonts w:ascii="Arial" w:hAnsi="Arial"/>
                <w:sz w:val="18"/>
              </w:rPr>
              <w:t xml:space="preserve">$241K</w:t>
            </w:r>
          </w:p>
        </w:tc>
        <w:tc>
          <w:tcPr/>
          <w:p>
            <w:pPr>
              <w:pStyle w:val="Compact"/>
              <w:jc w:val="right"/>
            </w:pPr>
            <w:r>
              <w:rPr>
                <w:rFonts w:ascii="Arial" w:hAnsi="Arial"/>
                <w:sz w:val="18"/>
              </w:rPr>
              <w:t xml:space="preserve">$236K</w:t>
            </w:r>
          </w:p>
        </w:tc>
        <w:tc>
          <w:tcPr/>
          <w:p>
            <w:pPr>
              <w:pStyle w:val="Compact"/>
              <w:jc w:val="right"/>
            </w:pPr>
            <w:r>
              <w:rPr>
                <w:rFonts w:ascii="Arial" w:hAnsi="Arial"/>
                <w:sz w:val="18"/>
              </w:rPr>
              <w:t xml:space="preserve">$70K</w:t>
            </w:r>
          </w:p>
        </w:tc>
        <w:tc>
          <w:tcPr/>
          <w:p>
            <w:pPr>
              <w:pStyle w:val="Compact"/>
              <w:jc w:val="right"/>
            </w:pPr>
            <w:r>
              <w:rPr>
                <w:rFonts w:ascii="Arial" w:hAnsi="Arial"/>
                <w:sz w:val="18"/>
              </w:rPr>
              <w:t xml:space="preserve">$546K</w:t>
            </w:r>
          </w:p>
        </w:tc>
        <w:tc>
          <w:tcPr/>
          <w:p>
            <w:pPr>
              <w:pStyle w:val="Compact"/>
              <w:jc w:val="right"/>
            </w:pPr>
            <w:r>
              <w:rPr>
                <w:rFonts w:ascii="Arial" w:hAnsi="Arial"/>
                <w:sz w:val="18"/>
              </w:rPr>
              <w:t xml:space="preserve">$1,734</w:t>
            </w:r>
          </w:p>
        </w:tc>
        <w:tc>
          <w:tcPr/>
          <w:p>
            <w:pPr>
              <w:pStyle w:val="Compact"/>
              <w:jc w:val="right"/>
            </w:pPr>
            <w:r>
              <w:rPr>
                <w:rFonts w:ascii="Arial" w:hAnsi="Arial"/>
                <w:sz w:val="18"/>
              </w:rPr>
              <w:t xml:space="preserve">$1,507</w:t>
            </w:r>
          </w:p>
        </w:tc>
      </w:tr>
      <w:tr>
        <w:tc>
          <w:tcPr/>
          <w:p>
            <w:pPr>
              <w:pStyle w:val="Compact"/>
              <w:jc w:val="left"/>
            </w:pPr>
            <w:r>
              <w:rPr>
                <w:rFonts w:ascii="Arial" w:hAnsi="Arial"/>
                <w:sz w:val="18"/>
              </w:rPr>
              <w:t xml:space="preserve">Walker</w:t>
            </w:r>
          </w:p>
        </w:tc>
        <w:tc>
          <w:tcPr/>
          <w:p>
            <w:pPr>
              <w:pStyle w:val="Compact"/>
              <w:jc w:val="right"/>
            </w:pPr>
            <w:r>
              <w:rPr>
                <w:rFonts w:ascii="Arial" w:hAnsi="Arial"/>
                <w:sz w:val="18"/>
              </w:rPr>
              <w:t xml:space="preserve">317</w:t>
            </w:r>
          </w:p>
        </w:tc>
        <w:tc>
          <w:tcPr/>
          <w:p>
            <w:pPr>
              <w:pStyle w:val="Compact"/>
              <w:jc w:val="left"/>
            </w:pPr>
            <w:r>
              <w:rPr>
                <w:rFonts w:ascii="Arial" w:hAnsi="Arial"/>
                <w:sz w:val="18"/>
              </w:rPr>
              <w:t xml:space="preserve">73% → 74%</w:t>
            </w:r>
          </w:p>
        </w:tc>
        <w:tc>
          <w:tcPr/>
          <w:p>
            <w:pPr>
              <w:pStyle w:val="Compact"/>
              <w:jc w:val="right"/>
            </w:pPr>
            <w:r>
              <w:rPr>
                <w:rFonts w:ascii="Arial" w:hAnsi="Arial"/>
                <w:sz w:val="18"/>
              </w:rPr>
              <w:t xml:space="preserve">$241K</w:t>
            </w:r>
          </w:p>
        </w:tc>
        <w:tc>
          <w:tcPr/>
          <w:p>
            <w:pPr>
              <w:pStyle w:val="Compact"/>
              <w:jc w:val="right"/>
            </w:pPr>
            <w:r>
              <w:rPr>
                <w:rFonts w:ascii="Arial" w:hAnsi="Arial"/>
                <w:sz w:val="18"/>
              </w:rPr>
              <w:t xml:space="preserve">$186K</w:t>
            </w:r>
          </w:p>
        </w:tc>
        <w:tc>
          <w:tcPr/>
          <w:p>
            <w:pPr>
              <w:pStyle w:val="Compact"/>
              <w:jc w:val="right"/>
            </w:pPr>
            <w:r>
              <w:rPr>
                <w:rFonts w:ascii="Arial" w:hAnsi="Arial"/>
                <w:sz w:val="18"/>
              </w:rPr>
              <w:t xml:space="preserve">$48K</w:t>
            </w:r>
          </w:p>
        </w:tc>
        <w:tc>
          <w:tcPr/>
          <w:p>
            <w:pPr>
              <w:pStyle w:val="Compact"/>
              <w:jc w:val="right"/>
            </w:pPr>
            <w:r>
              <w:rPr>
                <w:rFonts w:ascii="Arial" w:hAnsi="Arial"/>
                <w:sz w:val="18"/>
              </w:rPr>
              <w:t xml:space="preserve">$475K</w:t>
            </w:r>
          </w:p>
        </w:tc>
        <w:tc>
          <w:tcPr/>
          <w:p>
            <w:pPr>
              <w:pStyle w:val="Compact"/>
              <w:jc w:val="right"/>
            </w:pPr>
            <w:r>
              <w:rPr>
                <w:rFonts w:ascii="Arial" w:hAnsi="Arial"/>
                <w:sz w:val="18"/>
              </w:rPr>
              <w:t xml:space="preserve">$1,498</w:t>
            </w:r>
          </w:p>
        </w:tc>
        <w:tc>
          <w:tcPr/>
          <w:p>
            <w:pPr>
              <w:pStyle w:val="Compact"/>
              <w:jc w:val="right"/>
            </w:pPr>
            <w:r>
              <w:rPr>
                <w:rFonts w:ascii="Arial" w:hAnsi="Arial"/>
                <w:sz w:val="18"/>
              </w:rPr>
              <w:t xml:space="preserve">$1,493</w:t>
            </w:r>
          </w:p>
        </w:tc>
      </w:tr>
      <w:tr>
        <w:tc>
          <w:tcPr/>
          <w:p>
            <w:pPr>
              <w:pStyle w:val="Compact"/>
              <w:jc w:val="left"/>
            </w:pPr>
            <w:r>
              <w:rPr>
                <w:rFonts w:ascii="Arial" w:hAnsi="Arial"/>
                <w:sz w:val="18"/>
              </w:rPr>
              <w:t xml:space="preserve">Lincoln</w:t>
            </w:r>
          </w:p>
        </w:tc>
        <w:tc>
          <w:tcPr/>
          <w:p>
            <w:pPr>
              <w:pStyle w:val="Compact"/>
              <w:jc w:val="right"/>
            </w:pPr>
            <w:r>
              <w:rPr>
                <w:rFonts w:ascii="Arial" w:hAnsi="Arial"/>
                <w:sz w:val="18"/>
              </w:rPr>
              <w:t xml:space="preserve">350</w:t>
            </w:r>
          </w:p>
        </w:tc>
        <w:tc>
          <w:tcPr/>
          <w:p>
            <w:pPr>
              <w:pStyle w:val="Compact"/>
              <w:jc w:val="left"/>
            </w:pPr>
            <w:r>
              <w:rPr>
                <w:rFonts w:ascii="Arial" w:hAnsi="Arial"/>
                <w:sz w:val="18"/>
              </w:rPr>
              <w:t xml:space="preserve">61% → 71%</w:t>
            </w:r>
          </w:p>
        </w:tc>
        <w:tc>
          <w:tcPr/>
          <w:p>
            <w:pPr>
              <w:pStyle w:val="Compact"/>
              <w:jc w:val="right"/>
            </w:pPr>
            <w:r>
              <w:rPr>
                <w:rFonts w:ascii="Arial" w:hAnsi="Arial"/>
                <w:sz w:val="18"/>
              </w:rPr>
              <w:t xml:space="preserve">$241K</w:t>
            </w:r>
          </w:p>
        </w:tc>
        <w:tc>
          <w:tcPr/>
          <w:p>
            <w:pPr>
              <w:pStyle w:val="Compact"/>
              <w:jc w:val="right"/>
            </w:pPr>
            <w:r>
              <w:rPr>
                <w:rFonts w:ascii="Arial" w:hAnsi="Arial"/>
                <w:sz w:val="18"/>
              </w:rPr>
              <w:t xml:space="preserve">$266K</w:t>
            </w:r>
          </w:p>
        </w:tc>
        <w:tc>
          <w:tcPr/>
          <w:p>
            <w:pPr>
              <w:pStyle w:val="Compact"/>
              <w:jc w:val="right"/>
            </w:pPr>
            <w:r>
              <w:rPr>
                <w:rFonts w:ascii="Arial" w:hAnsi="Arial"/>
                <w:sz w:val="18"/>
              </w:rPr>
              <w:t xml:space="preserve">$79K</w:t>
            </w:r>
          </w:p>
        </w:tc>
        <w:tc>
          <w:tcPr/>
          <w:p>
            <w:pPr>
              <w:pStyle w:val="Compact"/>
              <w:jc w:val="right"/>
            </w:pPr>
            <w:r>
              <w:rPr>
                <w:rFonts w:ascii="Arial" w:hAnsi="Arial"/>
                <w:sz w:val="18"/>
              </w:rPr>
              <w:t xml:space="preserve">$585K</w:t>
            </w:r>
          </w:p>
        </w:tc>
        <w:tc>
          <w:tcPr/>
          <w:p>
            <w:pPr>
              <w:pStyle w:val="Compact"/>
              <w:jc w:val="right"/>
            </w:pPr>
            <w:r>
              <w:rPr>
                <w:rFonts w:ascii="Arial" w:hAnsi="Arial"/>
                <w:sz w:val="18"/>
              </w:rPr>
              <w:t xml:space="preserve">$1,673</w:t>
            </w:r>
          </w:p>
        </w:tc>
        <w:tc>
          <w:tcPr/>
          <w:p>
            <w:pPr>
              <w:pStyle w:val="Compact"/>
              <w:jc w:val="right"/>
            </w:pPr>
            <w:r>
              <w:rPr>
                <w:rFonts w:ascii="Arial" w:hAnsi="Arial"/>
                <w:sz w:val="18"/>
              </w:rPr>
              <w:t xml:space="preserve">$1,438</w:t>
            </w:r>
          </w:p>
        </w:tc>
      </w:tr>
      <w:tr>
        <w:tc>
          <w:tcPr/>
          <w:p>
            <w:pPr>
              <w:pStyle w:val="Compact"/>
              <w:jc w:val="left"/>
            </w:pPr>
            <w:r>
              <w:rPr>
                <w:rFonts w:ascii="Arial" w:hAnsi="Arial"/>
                <w:sz w:val="18"/>
              </w:rPr>
              <w:t xml:space="preserve">Orrington</w:t>
            </w:r>
          </w:p>
        </w:tc>
        <w:tc>
          <w:tcPr/>
          <w:p>
            <w:pPr>
              <w:pStyle w:val="Compact"/>
              <w:jc w:val="right"/>
            </w:pPr>
            <w:r>
              <w:rPr>
                <w:rFonts w:ascii="Arial" w:hAnsi="Arial"/>
                <w:sz w:val="18"/>
              </w:rPr>
              <w:t xml:space="preserve">251</w:t>
            </w:r>
          </w:p>
        </w:tc>
        <w:tc>
          <w:tcPr/>
          <w:p>
            <w:pPr>
              <w:pStyle w:val="Compact"/>
              <w:jc w:val="left"/>
            </w:pPr>
            <w:r>
              <w:rPr>
                <w:rFonts w:ascii="Arial" w:hAnsi="Arial"/>
                <w:sz w:val="18"/>
              </w:rPr>
              <w:t xml:space="preserve">58% → 73%</w:t>
            </w:r>
          </w:p>
        </w:tc>
        <w:tc>
          <w:tcPr/>
          <w:p>
            <w:pPr>
              <w:pStyle w:val="Compact"/>
              <w:jc w:val="right"/>
            </w:pPr>
            <w:r>
              <w:rPr>
                <w:rFonts w:ascii="Arial" w:hAnsi="Arial"/>
                <w:sz w:val="18"/>
              </w:rPr>
              <w:t xml:space="preserve">$241K</w:t>
            </w:r>
          </w:p>
        </w:tc>
        <w:tc>
          <w:tcPr/>
          <w:p>
            <w:pPr>
              <w:pStyle w:val="Compact"/>
              <w:jc w:val="right"/>
            </w:pPr>
            <w:r>
              <w:rPr>
                <w:rFonts w:ascii="Arial" w:hAnsi="Arial"/>
                <w:sz w:val="18"/>
              </w:rPr>
              <w:t xml:space="preserve">$170K</w:t>
            </w:r>
          </w:p>
        </w:tc>
        <w:tc>
          <w:tcPr/>
          <w:p>
            <w:pPr>
              <w:pStyle w:val="Compact"/>
              <w:jc w:val="right"/>
            </w:pPr>
            <w:r>
              <w:rPr>
                <w:rFonts w:ascii="Arial" w:hAnsi="Arial"/>
                <w:sz w:val="18"/>
              </w:rPr>
              <w:t xml:space="preserve">$45K</w:t>
            </w:r>
          </w:p>
        </w:tc>
        <w:tc>
          <w:tcPr/>
          <w:p>
            <w:pPr>
              <w:pStyle w:val="Compact"/>
              <w:jc w:val="right"/>
            </w:pPr>
            <w:r>
              <w:rPr>
                <w:rFonts w:ascii="Arial" w:hAnsi="Arial"/>
                <w:sz w:val="18"/>
              </w:rPr>
              <w:t xml:space="preserve">$455K</w:t>
            </w:r>
          </w:p>
        </w:tc>
        <w:tc>
          <w:tcPr/>
          <w:p>
            <w:pPr>
              <w:pStyle w:val="Compact"/>
              <w:jc w:val="right"/>
            </w:pPr>
            <w:r>
              <w:rPr>
                <w:rFonts w:ascii="Arial" w:hAnsi="Arial"/>
                <w:sz w:val="18"/>
              </w:rPr>
              <w:t xml:space="preserve">$1,813</w:t>
            </w:r>
          </w:p>
        </w:tc>
        <w:tc>
          <w:tcPr/>
          <w:p>
            <w:pPr>
              <w:pStyle w:val="Compact"/>
              <w:jc w:val="right"/>
            </w:pPr>
            <w:r>
              <w:rPr>
                <w:rFonts w:ascii="Arial" w:hAnsi="Arial"/>
                <w:sz w:val="18"/>
              </w:rPr>
              <w:t xml:space="preserve">$1,438</w:t>
            </w:r>
          </w:p>
        </w:tc>
      </w:tr>
      <w:tr>
        <w:tc>
          <w:tcPr/>
          <w:p>
            <w:pPr>
              <w:pStyle w:val="Compact"/>
              <w:jc w:val="left"/>
            </w:pPr>
            <w:r>
              <w:rPr>
                <w:rFonts w:ascii="Arial" w:hAnsi="Arial"/>
                <w:sz w:val="18"/>
              </w:rPr>
              <w:t xml:space="preserve">King Arts</w:t>
            </w:r>
          </w:p>
        </w:tc>
        <w:tc>
          <w:tcPr/>
          <w:p>
            <w:pPr>
              <w:pStyle w:val="Compact"/>
              <w:jc w:val="right"/>
            </w:pPr>
            <w:r>
              <w:rPr>
                <w:rFonts w:ascii="Arial" w:hAnsi="Arial"/>
                <w:sz w:val="18"/>
              </w:rPr>
              <w:t xml:space="preserve">445</w:t>
            </w:r>
          </w:p>
        </w:tc>
        <w:tc>
          <w:tcPr/>
          <w:p>
            <w:pPr>
              <w:pStyle w:val="Compact"/>
              <w:jc w:val="left"/>
            </w:pPr>
            <w:r>
              <w:rPr>
                <w:rFonts w:ascii="Arial" w:hAnsi="Arial"/>
                <w:sz w:val="18"/>
              </w:rPr>
              <w:t xml:space="preserve">68%</w:t>
            </w:r>
          </w:p>
        </w:tc>
        <w:tc>
          <w:tcPr/>
          <w:p>
            <w:pPr>
              <w:pStyle w:val="Compact"/>
              <w:jc w:val="right"/>
            </w:pPr>
            <w:r>
              <w:rPr>
                <w:rFonts w:ascii="Arial" w:hAnsi="Arial"/>
                <w:sz w:val="18"/>
              </w:rPr>
              <w:t xml:space="preserve">$241K</w:t>
            </w:r>
          </w:p>
        </w:tc>
        <w:tc>
          <w:tcPr/>
          <w:p>
            <w:pPr>
              <w:pStyle w:val="Compact"/>
              <w:jc w:val="right"/>
            </w:pPr>
            <w:r>
              <w:rPr>
                <w:rFonts w:ascii="Arial" w:hAnsi="Arial"/>
                <w:sz w:val="18"/>
              </w:rPr>
              <w:t xml:space="preserve">$362K</w:t>
            </w:r>
          </w:p>
        </w:tc>
        <w:tc>
          <w:tcPr/>
          <w:p>
            <w:pPr>
              <w:pStyle w:val="Compact"/>
              <w:jc w:val="right"/>
            </w:pPr>
            <w:r>
              <w:rPr>
                <w:rFonts w:ascii="Arial" w:hAnsi="Arial"/>
                <w:sz w:val="18"/>
              </w:rPr>
              <w:t xml:space="preserve">$101K</w:t>
            </w:r>
          </w:p>
        </w:tc>
        <w:tc>
          <w:tcPr/>
          <w:p>
            <w:pPr>
              <w:pStyle w:val="Compact"/>
              <w:jc w:val="right"/>
            </w:pPr>
            <w:r>
              <w:rPr>
                <w:rFonts w:ascii="Arial" w:hAnsi="Arial"/>
                <w:sz w:val="18"/>
              </w:rPr>
              <w:t xml:space="preserve">$703K</w:t>
            </w:r>
          </w:p>
        </w:tc>
        <w:tc>
          <w:tcPr/>
          <w:p>
            <w:pPr>
              <w:pStyle w:val="Compact"/>
              <w:jc w:val="right"/>
            </w:pPr>
            <w:r>
              <w:rPr>
                <w:rFonts w:ascii="Arial" w:hAnsi="Arial"/>
                <w:sz w:val="18"/>
              </w:rPr>
              <w:t xml:space="preserve">$1,580</w:t>
            </w:r>
          </w:p>
        </w:tc>
        <w:tc>
          <w:tcPr/>
          <w:p>
            <w:pPr>
              <w:pStyle w:val="Compact"/>
              <w:jc w:val="right"/>
            </w:pPr>
            <w:r>
              <w:rPr>
                <w:rFonts w:ascii="Arial" w:hAnsi="Arial"/>
                <w:sz w:val="18"/>
              </w:rPr>
              <w:t xml:space="preserve">—</w:t>
            </w:r>
          </w:p>
        </w:tc>
      </w:tr>
      <w:tr>
        <w:tc>
          <w:tcPr/>
          <w:p>
            <w:pPr>
              <w:pStyle w:val="Compact"/>
              <w:jc w:val="left"/>
            </w:pPr>
            <w:r>
              <w:rPr>
                <w:rFonts w:ascii="Arial" w:hAnsi="Arial"/>
                <w:sz w:val="18"/>
              </w:rPr>
              <w:t xml:space="preserve">Haven (MS)</w:t>
            </w:r>
          </w:p>
        </w:tc>
        <w:tc>
          <w:tcPr/>
          <w:p>
            <w:pPr>
              <w:pStyle w:val="Compact"/>
              <w:jc w:val="right"/>
            </w:pPr>
            <w:r>
              <w:rPr>
                <w:rFonts w:ascii="Arial" w:hAnsi="Arial"/>
                <w:sz w:val="18"/>
              </w:rPr>
              <w:t xml:space="preserve">604</w:t>
            </w:r>
          </w:p>
        </w:tc>
        <w:tc>
          <w:tcPr/>
          <w:p>
            <w:pPr>
              <w:pStyle w:val="Compact"/>
              <w:jc w:val="left"/>
            </w:pPr>
            <w:r>
              <w:rPr>
                <w:rFonts w:ascii="Arial" w:hAnsi="Arial"/>
                <w:sz w:val="18"/>
              </w:rPr>
              <w:t xml:space="preserve">65%</w:t>
            </w:r>
          </w:p>
        </w:tc>
        <w:tc>
          <w:tcPr/>
          <w:p>
            <w:pPr>
              <w:pStyle w:val="Compact"/>
              <w:jc w:val="right"/>
            </w:pPr>
            <w:r>
              <w:rPr>
                <w:rFonts w:ascii="Arial" w:hAnsi="Arial"/>
                <w:sz w:val="18"/>
              </w:rPr>
              <w:t xml:space="preserve">$241K</w:t>
            </w:r>
          </w:p>
        </w:tc>
        <w:tc>
          <w:tcPr/>
          <w:p>
            <w:pPr>
              <w:pStyle w:val="Compact"/>
              <w:jc w:val="right"/>
            </w:pPr>
            <w:r>
              <w:rPr>
                <w:rFonts w:ascii="Arial" w:hAnsi="Arial"/>
                <w:sz w:val="18"/>
              </w:rPr>
              <w:t xml:space="preserve">$514K</w:t>
            </w:r>
          </w:p>
        </w:tc>
        <w:tc>
          <w:tcPr/>
          <w:p>
            <w:pPr>
              <w:pStyle w:val="Compact"/>
              <w:jc w:val="right"/>
            </w:pPr>
            <w:r>
              <w:rPr>
                <w:rFonts w:ascii="Arial" w:hAnsi="Arial"/>
                <w:sz w:val="18"/>
              </w:rPr>
              <w:t xml:space="preserve">$96K</w:t>
            </w:r>
          </w:p>
        </w:tc>
        <w:tc>
          <w:tcPr/>
          <w:p>
            <w:pPr>
              <w:pStyle w:val="Compact"/>
              <w:jc w:val="right"/>
            </w:pPr>
            <w:r>
              <w:rPr>
                <w:rFonts w:ascii="Arial" w:hAnsi="Arial"/>
                <w:sz w:val="18"/>
              </w:rPr>
              <w:t xml:space="preserve">$850K</w:t>
            </w:r>
          </w:p>
        </w:tc>
        <w:tc>
          <w:tcPr/>
          <w:p>
            <w:pPr>
              <w:pStyle w:val="Compact"/>
              <w:jc w:val="right"/>
            </w:pPr>
            <w:r>
              <w:rPr>
                <w:rFonts w:ascii="Arial" w:hAnsi="Arial"/>
                <w:sz w:val="18"/>
              </w:rPr>
              <w:t xml:space="preserve">$1,408</w:t>
            </w:r>
          </w:p>
        </w:tc>
        <w:tc>
          <w:tcPr/>
          <w:p>
            <w:pPr>
              <w:pStyle w:val="Compact"/>
              <w:jc w:val="right"/>
            </w:pPr>
            <w:r>
              <w:rPr>
                <w:rFonts w:ascii="Arial" w:hAnsi="Arial"/>
                <w:sz w:val="18"/>
              </w:rPr>
              <w:t xml:space="preserve">—</w:t>
            </w:r>
          </w:p>
        </w:tc>
      </w:tr>
      <w:tr>
        <w:tc>
          <w:tcPr/>
          <w:p>
            <w:pPr>
              <w:pStyle w:val="Compact"/>
              <w:jc w:val="left"/>
            </w:pPr>
            <w:r>
              <w:rPr>
                <w:rFonts w:ascii="Arial" w:hAnsi="Arial"/>
                <w:sz w:val="18"/>
              </w:rPr>
              <w:t xml:space="preserve">Chute (MS)</w:t>
            </w:r>
          </w:p>
        </w:tc>
        <w:tc>
          <w:tcPr/>
          <w:p>
            <w:pPr>
              <w:pStyle w:val="Compact"/>
              <w:jc w:val="right"/>
            </w:pPr>
            <w:r>
              <w:rPr>
                <w:rFonts w:ascii="Arial" w:hAnsi="Arial"/>
                <w:sz w:val="18"/>
              </w:rPr>
              <w:t xml:space="preserve">591</w:t>
            </w:r>
          </w:p>
        </w:tc>
        <w:tc>
          <w:tcPr/>
          <w:p>
            <w:pPr>
              <w:pStyle w:val="Compact"/>
              <w:jc w:val="left"/>
            </w:pPr>
            <w:r>
              <w:rPr>
                <w:rFonts w:ascii="Arial" w:hAnsi="Arial"/>
                <w:sz w:val="18"/>
              </w:rPr>
              <w:t xml:space="preserve">75%</w:t>
            </w:r>
          </w:p>
        </w:tc>
        <w:tc>
          <w:tcPr/>
          <w:p>
            <w:pPr>
              <w:pStyle w:val="Compact"/>
              <w:jc w:val="right"/>
            </w:pPr>
            <w:r>
              <w:rPr>
                <w:rFonts w:ascii="Arial" w:hAnsi="Arial"/>
                <w:sz w:val="18"/>
              </w:rPr>
              <w:t xml:space="preserve">$241K</w:t>
            </w:r>
          </w:p>
        </w:tc>
        <w:tc>
          <w:tcPr/>
          <w:p>
            <w:pPr>
              <w:pStyle w:val="Compact"/>
              <w:jc w:val="right"/>
            </w:pPr>
            <w:r>
              <w:rPr>
                <w:rFonts w:ascii="Arial" w:hAnsi="Arial"/>
                <w:sz w:val="18"/>
              </w:rPr>
              <w:t xml:space="preserve">$408K</w:t>
            </w:r>
          </w:p>
        </w:tc>
        <w:tc>
          <w:tcPr/>
          <w:p>
            <w:pPr>
              <w:pStyle w:val="Compact"/>
              <w:jc w:val="right"/>
            </w:pPr>
            <w:r>
              <w:rPr>
                <w:rFonts w:ascii="Arial" w:hAnsi="Arial"/>
                <w:sz w:val="18"/>
              </w:rPr>
              <w:t xml:space="preserve">$102K</w:t>
            </w:r>
          </w:p>
        </w:tc>
        <w:tc>
          <w:tcPr/>
          <w:p>
            <w:pPr>
              <w:pStyle w:val="Compact"/>
              <w:jc w:val="right"/>
            </w:pPr>
            <w:r>
              <w:rPr>
                <w:rFonts w:ascii="Arial" w:hAnsi="Arial"/>
                <w:sz w:val="18"/>
              </w:rPr>
              <w:t xml:space="preserve">$752K</w:t>
            </w:r>
          </w:p>
        </w:tc>
        <w:tc>
          <w:tcPr/>
          <w:p>
            <w:pPr>
              <w:pStyle w:val="Compact"/>
              <w:jc w:val="right"/>
            </w:pPr>
            <w:r>
              <w:rPr>
                <w:rFonts w:ascii="Arial" w:hAnsi="Arial"/>
                <w:sz w:val="18"/>
              </w:rPr>
              <w:t xml:space="preserve">$1,272</w:t>
            </w:r>
          </w:p>
        </w:tc>
        <w:tc>
          <w:tcPr/>
          <w:p>
            <w:pPr>
              <w:pStyle w:val="Compact"/>
              <w:jc w:val="right"/>
            </w:pPr>
            <w:r>
              <w:rPr>
                <w:rFonts w:ascii="Arial" w:hAnsi="Arial"/>
                <w:sz w:val="18"/>
              </w:rPr>
              <w:t xml:space="preserve">—</w:t>
            </w:r>
          </w:p>
        </w:tc>
      </w:tr>
      <w:tr>
        <w:tc>
          <w:tcPr/>
          <w:p>
            <w:pPr>
              <w:pStyle w:val="Compact"/>
              <w:jc w:val="left"/>
            </w:pPr>
            <w:r>
              <w:rPr>
                <w:rFonts w:ascii="Arial" w:hAnsi="Arial"/>
                <w:sz w:val="18"/>
              </w:rPr>
              <w:t xml:space="preserve">Nichols (MS)</w:t>
            </w:r>
          </w:p>
        </w:tc>
        <w:tc>
          <w:tcPr/>
          <w:p>
            <w:pPr>
              <w:pStyle w:val="Compact"/>
              <w:jc w:val="right"/>
            </w:pPr>
            <w:r>
              <w:rPr>
                <w:rFonts w:ascii="Arial" w:hAnsi="Arial"/>
                <w:sz w:val="18"/>
              </w:rPr>
              <w:t xml:space="preserve">582</w:t>
            </w:r>
          </w:p>
        </w:tc>
        <w:tc>
          <w:tcPr/>
          <w:p>
            <w:pPr>
              <w:pStyle w:val="Compact"/>
              <w:jc w:val="left"/>
            </w:pPr>
            <w:r>
              <w:rPr>
                <w:rFonts w:ascii="Arial" w:hAnsi="Arial"/>
                <w:sz w:val="18"/>
              </w:rPr>
              <w:t xml:space="preserve">83%</w:t>
            </w:r>
          </w:p>
        </w:tc>
        <w:tc>
          <w:tcPr/>
          <w:p>
            <w:pPr>
              <w:pStyle w:val="Compact"/>
              <w:jc w:val="right"/>
            </w:pPr>
            <w:r>
              <w:rPr>
                <w:rFonts w:ascii="Arial" w:hAnsi="Arial"/>
                <w:sz w:val="18"/>
              </w:rPr>
              <w:t xml:space="preserve">$241K</w:t>
            </w:r>
          </w:p>
        </w:tc>
        <w:tc>
          <w:tcPr/>
          <w:p>
            <w:pPr>
              <w:pStyle w:val="Compact"/>
              <w:jc w:val="right"/>
            </w:pPr>
            <w:r>
              <w:rPr>
                <w:rFonts w:ascii="Arial" w:hAnsi="Arial"/>
                <w:sz w:val="18"/>
              </w:rPr>
              <w:t xml:space="preserve">$354K</w:t>
            </w:r>
          </w:p>
        </w:tc>
        <w:tc>
          <w:tcPr/>
          <w:p>
            <w:pPr>
              <w:pStyle w:val="Compact"/>
              <w:jc w:val="right"/>
            </w:pPr>
            <w:r>
              <w:rPr>
                <w:rFonts w:ascii="Arial" w:hAnsi="Arial"/>
                <w:sz w:val="18"/>
              </w:rPr>
              <w:t xml:space="preserve">$83K</w:t>
            </w:r>
          </w:p>
        </w:tc>
        <w:tc>
          <w:tcPr/>
          <w:p>
            <w:pPr>
              <w:pStyle w:val="Compact"/>
              <w:jc w:val="right"/>
            </w:pPr>
            <w:r>
              <w:rPr>
                <w:rFonts w:ascii="Arial" w:hAnsi="Arial"/>
                <w:sz w:val="18"/>
              </w:rPr>
              <w:t xml:space="preserve">$678K</w:t>
            </w:r>
          </w:p>
        </w:tc>
        <w:tc>
          <w:tcPr/>
          <w:p>
            <w:pPr>
              <w:pStyle w:val="Compact"/>
              <w:jc w:val="right"/>
            </w:pPr>
            <w:r>
              <w:rPr>
                <w:rFonts w:ascii="Arial" w:hAnsi="Arial"/>
                <w:sz w:val="18"/>
              </w:rPr>
              <w:t xml:space="preserve">$1,164</w:t>
            </w:r>
          </w:p>
        </w:tc>
        <w:tc>
          <w:tcPr/>
          <w:p>
            <w:pPr>
              <w:pStyle w:val="Compact"/>
              <w:jc w:val="right"/>
            </w:pPr>
            <w:r>
              <w:rPr>
                <w:rFonts w:ascii="Arial" w:hAnsi="Arial"/>
                <w:sz w:val="18"/>
              </w:rPr>
              <w:t xml:space="preserve">—</w:t>
            </w:r>
          </w:p>
        </w:tc>
      </w:tr>
    </w:tbl>
    <w:p>
      <w:pPr>
        <w:pStyle w:val="BodyText"/>
      </w:pPr>
      <w:r>
        <w:rPr>
          <w:bCs/>
          <w:b/>
        </w:rPr>
        <w:t xml:space="preserve">What stands out</w:t>
      </w:r>
    </w:p>
    <w:p>
      <w:pPr>
        <w:numPr>
          <w:ilvl w:val="0"/>
          <w:numId w:val="1005"/>
        </w:numPr>
        <w:pStyle w:val="Compact"/>
      </w:pPr>
      <w:r>
        <w:rPr>
          <w:bCs/>
          <w:b/>
        </w:rPr>
        <w:t xml:space="preserve">Receiving buildings get cheaper, but the district doesn't save that.</w:t>
      </w:r>
      <w:r>
        <w:t xml:space="preserve"> </w:t>
      </w:r>
      <w:r>
        <w:t xml:space="preserve">Adding students lowers cost per student only at the receiving buildings; the district saves just the closed building's costs.</w:t>
      </w:r>
    </w:p>
    <w:p>
      <w:pPr>
        <w:numPr>
          <w:ilvl w:val="0"/>
          <w:numId w:val="1005"/>
        </w:numPr>
        <w:pStyle w:val="Compact"/>
      </w:pPr>
      <w:r>
        <w:rPr>
          <w:bCs/>
          <w:b/>
        </w:rPr>
        <w:t xml:space="preserve">Utilities are small.</w:t>
      </w:r>
      <w:r>
        <w:t xml:space="preserve"> </w:t>
      </w:r>
      <w:r>
        <w:t xml:space="preserve">They come to $1.33M district-wide.</w:t>
      </w:r>
    </w:p>
    <w:p>
      <w:pPr>
        <w:pStyle w:val="FirstParagraph"/>
      </w:pPr>
      <w:r>
        <w:rPr>
          <w:bCs/>
          <w:b/>
        </w:rPr>
        <w:t xml:space="preserve">Data we still need:</w:t>
      </w:r>
    </w:p>
    <w:p>
      <w:pPr>
        <w:numPr>
          <w:ilvl w:val="0"/>
          <w:numId w:val="1006"/>
        </w:numPr>
        <w:pStyle w:val="Compact"/>
      </w:pPr>
      <w:r>
        <w:t xml:space="preserve">Maintenance and capital needs by building, likely larger than utilities (sources: 10-year Health/Life Safety survey, facility assessment).</w:t>
      </w:r>
      <w:r>
        <w:t xml:space="preserve"> </w:t>
      </w:r>
      <w:r>
        <w:rPr>
          <w:iCs/>
          <w:i/>
        </w:rPr>
        <w:t xml:space="preserve">Now added below from the Facility Master Plan.</w:t>
      </w:r>
    </w:p>
    <w:p>
      <w:pPr>
        <w:numPr>
          <w:ilvl w:val="0"/>
          <w:numId w:val="1006"/>
        </w:numPr>
        <w:pStyle w:val="Compact"/>
      </w:pPr>
      <w:r>
        <w:t xml:space="preserve">Actual building staff by school</w:t>
      </w:r>
    </w:p>
    <w:p>
      <w:pPr>
        <w:numPr>
          <w:ilvl w:val="0"/>
          <w:numId w:val="1006"/>
        </w:numPr>
        <w:pStyle w:val="Compact"/>
      </w:pPr>
      <w:r>
        <w:t xml:space="preserve">Site-level spending per student (ISBE report card)</w:t>
      </w:r>
    </w:p>
    <w:p>
      <w:pPr>
        <w:numPr>
          <w:ilvl w:val="0"/>
          <w:numId w:val="1006"/>
        </w:numPr>
        <w:pStyle w:val="Compact"/>
      </w:pPr>
      <w:r>
        <w:t xml:space="preserve">Full-year 2026 utilities</w:t>
      </w:r>
    </w:p>
    <w:p>
      <w:pPr>
        <w:pStyle w:val="FirstParagraph"/>
      </w:pPr>
      <w:r>
        <w:t xml:space="preserve">*Scenario average = today's cost ÷ the building's average 2027–28 enrollment across the closure scenarios in section 02 where it stays open and at or under capacity (90% of displaced students stay). Foster has no utility account.</w:t>
      </w:r>
    </w:p>
    <w:p>
      <w:pPr>
        <w:pStyle w:val="BodyText"/>
      </w:pPr>
      <w:r>
        <w:rPr>
          <w:bCs/>
          <w:b/>
        </w:rPr>
        <w:t xml:space="preserve">Sources and assumptions:</w:t>
      </w:r>
    </w:p>
    <w:p>
      <w:pPr>
        <w:numPr>
          <w:ilvl w:val="0"/>
          <w:numId w:val="1007"/>
        </w:numPr>
        <w:pStyle w:val="Compact"/>
      </w:pPr>
      <w:r>
        <w:t xml:space="preserve">Utilities and energy use: D65 dashboard (2025 data, pulled 9/23/2026). Square feet derived from energy use ÷ EUI.</w:t>
      </w:r>
    </w:p>
    <w:p>
      <w:pPr>
        <w:numPr>
          <w:ilvl w:val="0"/>
          <w:numId w:val="1007"/>
        </w:numPr>
        <w:pStyle w:val="Compact"/>
      </w:pPr>
      <w:r>
        <w:t xml:space="preserve">Enrollment: fall 2026 (D65 dashboard).</w:t>
      </w:r>
    </w:p>
    <w:p>
      <w:pPr>
        <w:numPr>
          <w:ilvl w:val="0"/>
          <w:numId w:val="1007"/>
        </w:numPr>
        <w:pStyle w:val="Compact"/>
      </w:pPr>
      <w:r>
        <w:t xml:space="preserve">Capacity: the smaller of the district's Cap Total and Cordogan Clark (2022).</w:t>
      </w:r>
    </w:p>
    <w:p>
      <w:pPr>
        <w:numPr>
          <w:ilvl w:val="0"/>
          <w:numId w:val="1007"/>
        </w:numPr>
        <w:pStyle w:val="Compact"/>
      </w:pPr>
      <w:r>
        <w:t xml:space="preserve">Principal pay: FY26 PA 96-0434 salary report ($180,753 average).</w:t>
      </w:r>
    </w:p>
    <w:p>
      <w:pPr>
        <w:numPr>
          <w:ilvl w:val="0"/>
          <w:numId w:val="1007"/>
        </w:numPr>
        <w:pStyle w:val="Compact"/>
      </w:pPr>
      <w:r>
        <w:t xml:space="preserve">Custodians: 64, from the district's employee-category table, allocated by square feet.</w:t>
      </w:r>
    </w:p>
    <w:p>
      <w:pPr>
        <w:numPr>
          <w:ilvl w:val="0"/>
          <w:numId w:val="1007"/>
        </w:numPr>
        <w:pStyle w:val="Compact"/>
      </w:pPr>
      <w:r>
        <w:t xml:space="preserve">Assumed: custodian pay $65K and office staff $60K per building.</w:t>
      </w:r>
    </w:p>
    <w:p>
      <w:pPr>
        <w:pStyle w:val="FirstParagraph"/>
      </w:pPr>
      <w:r>
        <w:t xml:space="preserve">Built with help from Claude (AI); please verify.</w:t>
      </w:r>
    </w:p>
    <w:bookmarkStart w:id="35" w:name="Xbe5b8447c274a539ee438cf8006e11bc7c573d7"/>
    <w:p>
      <w:pPr>
        <w:pStyle w:val="Heading3"/>
      </w:pPr>
      <w:r>
        <w:t xml:space="preserve">Added: the same comparison with the facility plan's capital needs</w:t>
      </w:r>
    </w:p>
    <w:p>
      <w:pPr>
        <w:pStyle w:val="FirstParagraph"/>
      </w:pPr>
      <w:r>
        <w:t xml:space="preserve">The District's</w:t>
      </w:r>
      <w:r>
        <w:t xml:space="preserve"> </w:t>
      </w:r>
      <w:hyperlink r:id="rId31">
        <w:r>
          <w:rPr>
            <w:rStyle w:val="Hyperlink"/>
          </w:rPr>
          <w:t xml:space="preserve">Facility Master Plan</w:t>
        </w:r>
      </w:hyperlink>
      <w:r>
        <w:t xml:space="preserve"> </w:t>
      </w:r>
      <w:r>
        <w:t xml:space="preserve">(Studio GC, March 2026 draft, pp. 22–23) estimates each building's capital and maintenance needs year by year. We took each building's 2027–31 total (the plan's first five years), spread it evenly over those five years, and added it to the operating costs above. Figures are per student per year at each building's</w:t>
      </w:r>
      <w:r>
        <w:t xml:space="preserve"> </w:t>
      </w:r>
      <w:r>
        <w:rPr>
          <w:bCs/>
          <w:b/>
        </w:rPr>
        <w:t xml:space="preserve">average enrollment across the closure scenarios</w:t>
      </w:r>
      <w:r>
        <w:t xml:space="preserve">, sorted from most to least. The middle schools and King Arts are left out because they aren't part of the closure scenarios.</w:t>
      </w:r>
    </w:p>
    <w:p>
      <w:pPr>
        <w:pStyle w:val="BodyText"/>
      </w:pPr>
      <w:r>
        <w:drawing>
          <wp:inline>
            <wp:extent cx="6035040" cy="3138220"/>
            <wp:effectExtent b="0" l="0" r="0" t="0"/>
            <wp:docPr descr="Yearly cost per student at average closure-scenario enrollment, with capital needs" title="" id="33" name="Picture"/>
            <a:graphic>
              <a:graphicData uri="http://schemas.openxmlformats.org/drawingml/2006/picture">
                <pic:pic>
                  <pic:nvPicPr>
                    <pic:cNvPr descr="images/budget_handout/building_cost_with_capital.png" id="34" name="Picture"/>
                    <pic:cNvPicPr>
                      <a:picLocks noChangeArrowheads="1" noChangeAspect="1"/>
                    </pic:cNvPicPr>
                  </pic:nvPicPr>
                  <pic:blipFill>
                    <a:blip r:embed="rId32"/>
                    <a:stretch>
                      <a:fillRect/>
                    </a:stretch>
                  </pic:blipFill>
                  <pic:spPr bwMode="auto">
                    <a:xfrm>
                      <a:off x="0" y="0"/>
                      <a:ext cx="6035040" cy="3138220"/>
                    </a:xfrm>
                    <a:prstGeom prst="rect">
                      <a:avLst/>
                    </a:prstGeom>
                    <a:noFill/>
                    <a:ln w="9525">
                      <a:noFill/>
                      <a:headEnd/>
                      <a:tailEnd/>
                    </a:ln>
                  </pic:spPr>
                </pic:pic>
              </a:graphicData>
            </a:graphic>
          </wp:inline>
        </w:drawing>
      </w:r>
    </w:p>
    <w:tbl>
      <w:tblPr>
        <w:tblStyle w:val="Table"/>
        <w:tblLook w:firstRow="1" w:lastRow="0" w:firstColumn="0" w:lastColumn="0" w:noHBand="0" w:noVBand="0" w:val="0020"/>
        <w:jc w:val="start"/>
        <w:tblBorders>
          <w:top w:val="single" w:sz="4" w:color="BFBFBF"/>
          <w:left w:val="single" w:sz="4" w:color="BFBFBF"/>
          <w:bottom w:val="single" w:sz="4" w:color="BFBFBF"/>
          <w:right w:val="single" w:sz="4" w:color="BFBFBF"/>
          <w:insideH w:val="single" w:sz="4" w:color="BFBFBF"/>
          <w:insideV w:val="single" w:sz="4" w:color="BFBFBF"/>
        </w:tblBorders>
        <w:tblW w:w="5000" w:type="pct"/>
        <w:tblLayout w:type="autofit"/>
      </w:tblPr>
      <w:tblGrid>
        <w:gridCol/>
        <w:gridCol/>
        <w:gridCol/>
        <w:gridCol/>
        <w:gridCol/>
        <w:gridCol/>
        <w:gridCol/>
        <w:gridCol/>
        <w:gridCol/>
      </w:tblGrid>
      <w:tr>
        <w:trPr>
          <w:tblHeader w:val="true"/>
        </w:trPr>
        <w:tc>
          <w:tcPr>
            <w:shd w:val="clear" w:fill="E8ECF3"/>
          </w:tcPr>
          <w:p>
            <w:pPr>
              <w:pStyle w:val="Compact"/>
              <w:jc w:val="right"/>
            </w:pPr>
            <w:r>
              <w:rPr>
                <w:rFonts w:ascii="Arial" w:hAnsi="Arial"/>
                <w:b/>
                <w:sz w:val="18"/>
              </w:rPr>
              <w:t xml:space="preserve">Rank</w:t>
            </w:r>
          </w:p>
        </w:tc>
        <w:tc>
          <w:tcPr>
            <w:shd w:val="clear" w:fill="E8ECF3"/>
          </w:tcPr>
          <w:p>
            <w:pPr>
              <w:pStyle w:val="Compact"/>
              <w:jc w:val="left"/>
            </w:pPr>
            <w:r>
              <w:rPr>
                <w:rFonts w:ascii="Arial" w:hAnsi="Arial"/>
                <w:b/>
                <w:sz w:val="18"/>
              </w:rPr>
              <w:t xml:space="preserve">Building</w:t>
            </w:r>
          </w:p>
        </w:tc>
        <w:tc>
          <w:tcPr>
            <w:shd w:val="clear" w:fill="E8ECF3"/>
          </w:tcPr>
          <w:p>
            <w:pPr>
              <w:pStyle w:val="Compact"/>
              <w:jc w:val="right"/>
            </w:pPr>
            <w:r>
              <w:rPr>
                <w:rFonts w:ascii="Arial" w:hAnsi="Arial"/>
                <w:b/>
                <w:sz w:val="18"/>
              </w:rPr>
              <w:t xml:space="preserve">Students today</w:t>
            </w:r>
          </w:p>
        </w:tc>
        <w:tc>
          <w:tcPr>
            <w:shd w:val="clear" w:fill="E8ECF3"/>
          </w:tcPr>
          <w:p>
            <w:pPr>
              <w:pStyle w:val="Compact"/>
              <w:jc w:val="right"/>
            </w:pPr>
            <w:r>
              <w:rPr>
                <w:rFonts w:ascii="Arial" w:hAnsi="Arial"/>
                <w:b/>
                <w:sz w:val="18"/>
              </w:rPr>
              <w:t xml:space="preserve">Scenario-average students*</w:t>
            </w:r>
          </w:p>
        </w:tc>
        <w:tc>
          <w:tcPr>
            <w:shd w:val="clear" w:fill="E8ECF3"/>
          </w:tcPr>
          <w:p>
            <w:pPr>
              <w:pStyle w:val="Compact"/>
              <w:jc w:val="right"/>
            </w:pPr>
            <w:r>
              <w:rPr>
                <w:rFonts w:ascii="Arial" w:hAnsi="Arial"/>
                <w:b/>
                <w:sz w:val="18"/>
              </w:rPr>
              <w:t xml:space="preserve">Capital need, 2027–31 total</w:t>
            </w:r>
          </w:p>
        </w:tc>
        <w:tc>
          <w:tcPr>
            <w:shd w:val="clear" w:fill="E8ECF3"/>
          </w:tcPr>
          <w:p>
            <w:pPr>
              <w:pStyle w:val="Compact"/>
              <w:jc w:val="right"/>
            </w:pPr>
            <w:r>
              <w:rPr>
                <w:rFonts w:ascii="Arial" w:hAnsi="Arial"/>
                <w:b/>
                <w:sz w:val="18"/>
              </w:rPr>
              <w:t xml:space="preserve">Capital need, full plan 2027–75</w:t>
            </w:r>
          </w:p>
        </w:tc>
        <w:tc>
          <w:tcPr>
            <w:shd w:val="clear" w:fill="E8ECF3"/>
          </w:tcPr>
          <w:p>
            <w:pPr>
              <w:pStyle w:val="Compact"/>
              <w:jc w:val="right"/>
            </w:pPr>
            <w:r>
              <w:rPr>
                <w:rFonts w:ascii="Arial" w:hAnsi="Arial"/>
                <w:b/>
                <w:sz w:val="18"/>
              </w:rPr>
              <w:t xml:space="preserve">Operating per student</w:t>
            </w:r>
          </w:p>
        </w:tc>
        <w:tc>
          <w:tcPr>
            <w:shd w:val="clear" w:fill="E8ECF3"/>
          </w:tcPr>
          <w:p>
            <w:pPr>
              <w:pStyle w:val="Compact"/>
              <w:jc w:val="right"/>
            </w:pPr>
            <w:r>
              <w:rPr>
                <w:rFonts w:ascii="Arial" w:hAnsi="Arial"/>
                <w:b/>
                <w:sz w:val="18"/>
              </w:rPr>
              <w:t xml:space="preserve">Capital per student (2027–31 avg)</w:t>
            </w:r>
          </w:p>
        </w:tc>
        <w:tc>
          <w:tcPr>
            <w:shd w:val="clear" w:fill="E8ECF3"/>
          </w:tcPr>
          <w:p>
            <w:pPr>
              <w:pStyle w:val="Compact"/>
              <w:jc w:val="right"/>
            </w:pPr>
            <w:r>
              <w:rPr>
                <w:bCs/>
                <w:rFonts w:ascii="Arial" w:hAnsi="Arial"/>
                <w:b/>
                <w:sz w:val="18"/>
              </w:rPr>
              <w:t xml:space="preserve">Total per student</w:t>
            </w:r>
          </w:p>
        </w:tc>
      </w:tr>
      <w:tr>
        <w:tc>
          <w:tcPr/>
          <w:p>
            <w:pPr>
              <w:pStyle w:val="Compact"/>
              <w:jc w:val="right"/>
            </w:pPr>
            <w:r>
              <w:rPr>
                <w:rFonts w:ascii="Arial" w:hAnsi="Arial"/>
                <w:sz w:val="18"/>
              </w:rPr>
              <w:t xml:space="preserve">1</w:t>
            </w:r>
          </w:p>
        </w:tc>
        <w:tc>
          <w:tcPr/>
          <w:p>
            <w:pPr>
              <w:pStyle w:val="Compact"/>
              <w:jc w:val="left"/>
            </w:pPr>
            <w:r>
              <w:rPr>
                <w:rFonts w:ascii="Arial" w:hAnsi="Arial"/>
                <w:sz w:val="18"/>
              </w:rPr>
              <w:t xml:space="preserve">Washington</w:t>
            </w:r>
          </w:p>
        </w:tc>
        <w:tc>
          <w:tcPr/>
          <w:p>
            <w:pPr>
              <w:pStyle w:val="Compact"/>
              <w:jc w:val="right"/>
            </w:pPr>
            <w:r>
              <w:rPr>
                <w:rFonts w:ascii="Arial" w:hAnsi="Arial"/>
                <w:sz w:val="18"/>
              </w:rPr>
              <w:t xml:space="preserve">387</w:t>
            </w:r>
          </w:p>
        </w:tc>
        <w:tc>
          <w:tcPr/>
          <w:p>
            <w:pPr>
              <w:pStyle w:val="Compact"/>
              <w:jc w:val="right"/>
            </w:pPr>
            <w:r>
              <w:rPr>
                <w:rFonts w:ascii="Arial" w:hAnsi="Arial"/>
                <w:sz w:val="18"/>
              </w:rPr>
              <w:t xml:space="preserve">398</w:t>
            </w:r>
          </w:p>
        </w:tc>
        <w:tc>
          <w:tcPr/>
          <w:p>
            <w:pPr>
              <w:pStyle w:val="Compact"/>
              <w:jc w:val="right"/>
            </w:pPr>
            <w:r>
              <w:rPr>
                <w:rFonts w:ascii="Arial" w:hAnsi="Arial"/>
                <w:sz w:val="18"/>
              </w:rPr>
              <w:t xml:space="preserve">$15.3M</w:t>
            </w:r>
          </w:p>
        </w:tc>
        <w:tc>
          <w:tcPr/>
          <w:p>
            <w:pPr>
              <w:pStyle w:val="Compact"/>
              <w:jc w:val="right"/>
            </w:pPr>
            <w:r>
              <w:rPr>
                <w:rFonts w:ascii="Arial" w:hAnsi="Arial"/>
                <w:sz w:val="18"/>
              </w:rPr>
              <w:t xml:space="preserve">$43.3M</w:t>
            </w:r>
          </w:p>
        </w:tc>
        <w:tc>
          <w:tcPr/>
          <w:p>
            <w:pPr>
              <w:pStyle w:val="Compact"/>
              <w:jc w:val="right"/>
            </w:pPr>
            <w:r>
              <w:rPr>
                <w:rFonts w:ascii="Arial" w:hAnsi="Arial"/>
                <w:sz w:val="18"/>
              </w:rPr>
              <w:t xml:space="preserve">$1,528</w:t>
            </w:r>
          </w:p>
        </w:tc>
        <w:tc>
          <w:tcPr/>
          <w:p>
            <w:pPr>
              <w:pStyle w:val="Compact"/>
              <w:jc w:val="right"/>
            </w:pPr>
            <w:r>
              <w:rPr>
                <w:rFonts w:ascii="Arial" w:hAnsi="Arial"/>
                <w:sz w:val="18"/>
              </w:rPr>
              <w:t xml:space="preserve">$7,690</w:t>
            </w:r>
          </w:p>
        </w:tc>
        <w:tc>
          <w:tcPr/>
          <w:p>
            <w:pPr>
              <w:pStyle w:val="Compact"/>
              <w:jc w:val="right"/>
            </w:pPr>
            <w:r>
              <w:rPr>
                <w:bCs/>
                <w:rFonts w:ascii="Arial" w:hAnsi="Arial"/>
                <w:b/>
                <w:sz w:val="18"/>
              </w:rPr>
              <w:t xml:space="preserve">$9,218</w:t>
            </w:r>
          </w:p>
        </w:tc>
      </w:tr>
      <w:tr>
        <w:tc>
          <w:tcPr/>
          <w:p>
            <w:pPr>
              <w:pStyle w:val="Compact"/>
              <w:jc w:val="right"/>
            </w:pPr>
            <w:r>
              <w:rPr>
                <w:rFonts w:ascii="Arial" w:hAnsi="Arial"/>
                <w:sz w:val="18"/>
              </w:rPr>
              <w:t xml:space="preserve">2</w:t>
            </w:r>
          </w:p>
        </w:tc>
        <w:tc>
          <w:tcPr/>
          <w:p>
            <w:pPr>
              <w:pStyle w:val="Compact"/>
              <w:jc w:val="left"/>
            </w:pPr>
            <w:r>
              <w:rPr>
                <w:rFonts w:ascii="Arial" w:hAnsi="Arial"/>
                <w:sz w:val="18"/>
              </w:rPr>
              <w:t xml:space="preserve">Willard</w:t>
            </w:r>
          </w:p>
        </w:tc>
        <w:tc>
          <w:tcPr/>
          <w:p>
            <w:pPr>
              <w:pStyle w:val="Compact"/>
              <w:jc w:val="right"/>
            </w:pPr>
            <w:r>
              <w:rPr>
                <w:rFonts w:ascii="Arial" w:hAnsi="Arial"/>
                <w:sz w:val="18"/>
              </w:rPr>
              <w:t xml:space="preserve">273</w:t>
            </w:r>
          </w:p>
        </w:tc>
        <w:tc>
          <w:tcPr/>
          <w:p>
            <w:pPr>
              <w:pStyle w:val="Compact"/>
              <w:jc w:val="right"/>
            </w:pPr>
            <w:r>
              <w:rPr>
                <w:rFonts w:ascii="Arial" w:hAnsi="Arial"/>
                <w:sz w:val="18"/>
              </w:rPr>
              <w:t xml:space="preserve">346</w:t>
            </w:r>
          </w:p>
        </w:tc>
        <w:tc>
          <w:tcPr/>
          <w:p>
            <w:pPr>
              <w:pStyle w:val="Compact"/>
              <w:jc w:val="right"/>
            </w:pPr>
            <w:r>
              <w:rPr>
                <w:rFonts w:ascii="Arial" w:hAnsi="Arial"/>
                <w:sz w:val="18"/>
              </w:rPr>
              <w:t xml:space="preserve">$13.2M</w:t>
            </w:r>
          </w:p>
        </w:tc>
        <w:tc>
          <w:tcPr/>
          <w:p>
            <w:pPr>
              <w:pStyle w:val="Compact"/>
              <w:jc w:val="right"/>
            </w:pPr>
            <w:r>
              <w:rPr>
                <w:rFonts w:ascii="Arial" w:hAnsi="Arial"/>
                <w:sz w:val="18"/>
              </w:rPr>
              <w:t xml:space="preserve">$25.7M</w:t>
            </w:r>
          </w:p>
        </w:tc>
        <w:tc>
          <w:tcPr/>
          <w:p>
            <w:pPr>
              <w:pStyle w:val="Compact"/>
              <w:jc w:val="right"/>
            </w:pPr>
            <w:r>
              <w:rPr>
                <w:rFonts w:ascii="Arial" w:hAnsi="Arial"/>
                <w:sz w:val="18"/>
              </w:rPr>
              <w:t xml:space="preserve">$1,534</w:t>
            </w:r>
          </w:p>
        </w:tc>
        <w:tc>
          <w:tcPr/>
          <w:p>
            <w:pPr>
              <w:pStyle w:val="Compact"/>
              <w:jc w:val="right"/>
            </w:pPr>
            <w:r>
              <w:rPr>
                <w:rFonts w:ascii="Arial" w:hAnsi="Arial"/>
                <w:sz w:val="18"/>
              </w:rPr>
              <w:t xml:space="preserve">$7,641</w:t>
            </w:r>
          </w:p>
        </w:tc>
        <w:tc>
          <w:tcPr/>
          <w:p>
            <w:pPr>
              <w:pStyle w:val="Compact"/>
              <w:jc w:val="right"/>
            </w:pPr>
            <w:r>
              <w:rPr>
                <w:bCs/>
                <w:rFonts w:ascii="Arial" w:hAnsi="Arial"/>
                <w:b/>
                <w:sz w:val="18"/>
              </w:rPr>
              <w:t xml:space="preserve">$9,175</w:t>
            </w:r>
          </w:p>
        </w:tc>
      </w:tr>
      <w:tr>
        <w:tc>
          <w:tcPr/>
          <w:p>
            <w:pPr>
              <w:pStyle w:val="Compact"/>
              <w:jc w:val="right"/>
            </w:pPr>
            <w:r>
              <w:rPr>
                <w:rFonts w:ascii="Arial" w:hAnsi="Arial"/>
                <w:sz w:val="18"/>
              </w:rPr>
              <w:t xml:space="preserve">3</w:t>
            </w:r>
          </w:p>
        </w:tc>
        <w:tc>
          <w:tcPr/>
          <w:p>
            <w:pPr>
              <w:pStyle w:val="Compact"/>
              <w:jc w:val="left"/>
            </w:pPr>
            <w:r>
              <w:rPr>
                <w:rFonts w:ascii="Arial" w:hAnsi="Arial"/>
                <w:sz w:val="18"/>
              </w:rPr>
              <w:t xml:space="preserve">Lincolnwood</w:t>
            </w:r>
          </w:p>
        </w:tc>
        <w:tc>
          <w:tcPr/>
          <w:p>
            <w:pPr>
              <w:pStyle w:val="Compact"/>
              <w:jc w:val="right"/>
            </w:pPr>
            <w:r>
              <w:rPr>
                <w:rFonts w:ascii="Arial" w:hAnsi="Arial"/>
                <w:sz w:val="18"/>
              </w:rPr>
              <w:t xml:space="preserve">331</w:t>
            </w:r>
          </w:p>
        </w:tc>
        <w:tc>
          <w:tcPr/>
          <w:p>
            <w:pPr>
              <w:pStyle w:val="Compact"/>
              <w:jc w:val="right"/>
            </w:pPr>
            <w:r>
              <w:rPr>
                <w:rFonts w:ascii="Arial" w:hAnsi="Arial"/>
                <w:sz w:val="18"/>
              </w:rPr>
              <w:t xml:space="preserve">332</w:t>
            </w:r>
          </w:p>
        </w:tc>
        <w:tc>
          <w:tcPr/>
          <w:p>
            <w:pPr>
              <w:pStyle w:val="Compact"/>
              <w:jc w:val="right"/>
            </w:pPr>
            <w:r>
              <w:rPr>
                <w:rFonts w:ascii="Arial" w:hAnsi="Arial"/>
                <w:sz w:val="18"/>
              </w:rPr>
              <w:t xml:space="preserve">$10.9M</w:t>
            </w:r>
          </w:p>
        </w:tc>
        <w:tc>
          <w:tcPr/>
          <w:p>
            <w:pPr>
              <w:pStyle w:val="Compact"/>
              <w:jc w:val="right"/>
            </w:pPr>
            <w:r>
              <w:rPr>
                <w:rFonts w:ascii="Arial" w:hAnsi="Arial"/>
                <w:sz w:val="18"/>
              </w:rPr>
              <w:t xml:space="preserve">$31.6M</w:t>
            </w:r>
          </w:p>
        </w:tc>
        <w:tc>
          <w:tcPr/>
          <w:p>
            <w:pPr>
              <w:pStyle w:val="Compact"/>
              <w:jc w:val="right"/>
            </w:pPr>
            <w:r>
              <w:rPr>
                <w:rFonts w:ascii="Arial" w:hAnsi="Arial"/>
                <w:sz w:val="18"/>
              </w:rPr>
              <w:t xml:space="preserve">$1,541</w:t>
            </w:r>
          </w:p>
        </w:tc>
        <w:tc>
          <w:tcPr/>
          <w:p>
            <w:pPr>
              <w:pStyle w:val="Compact"/>
              <w:jc w:val="right"/>
            </w:pPr>
            <w:r>
              <w:rPr>
                <w:rFonts w:ascii="Arial" w:hAnsi="Arial"/>
                <w:sz w:val="18"/>
              </w:rPr>
              <w:t xml:space="preserve">$6,561</w:t>
            </w:r>
          </w:p>
        </w:tc>
        <w:tc>
          <w:tcPr/>
          <w:p>
            <w:pPr>
              <w:pStyle w:val="Compact"/>
              <w:jc w:val="right"/>
            </w:pPr>
            <w:r>
              <w:rPr>
                <w:bCs/>
                <w:rFonts w:ascii="Arial" w:hAnsi="Arial"/>
                <w:b/>
                <w:sz w:val="18"/>
              </w:rPr>
              <w:t xml:space="preserve">$8,102</w:t>
            </w:r>
          </w:p>
        </w:tc>
      </w:tr>
      <w:tr>
        <w:tc>
          <w:tcPr/>
          <w:p>
            <w:pPr>
              <w:pStyle w:val="Compact"/>
              <w:jc w:val="right"/>
            </w:pPr>
            <w:r>
              <w:rPr>
                <w:rFonts w:ascii="Arial" w:hAnsi="Arial"/>
                <w:sz w:val="18"/>
              </w:rPr>
              <w:t xml:space="preserve">4</w:t>
            </w:r>
          </w:p>
        </w:tc>
        <w:tc>
          <w:tcPr/>
          <w:p>
            <w:pPr>
              <w:pStyle w:val="Compact"/>
              <w:jc w:val="left"/>
            </w:pPr>
            <w:r>
              <w:rPr>
                <w:rFonts w:ascii="Arial" w:hAnsi="Arial"/>
                <w:sz w:val="18"/>
              </w:rPr>
              <w:t xml:space="preserve">Walker</w:t>
            </w:r>
          </w:p>
        </w:tc>
        <w:tc>
          <w:tcPr/>
          <w:p>
            <w:pPr>
              <w:pStyle w:val="Compact"/>
              <w:jc w:val="right"/>
            </w:pPr>
            <w:r>
              <w:rPr>
                <w:rFonts w:ascii="Arial" w:hAnsi="Arial"/>
                <w:sz w:val="18"/>
              </w:rPr>
              <w:t xml:space="preserve">317</w:t>
            </w:r>
          </w:p>
        </w:tc>
        <w:tc>
          <w:tcPr/>
          <w:p>
            <w:pPr>
              <w:pStyle w:val="Compact"/>
              <w:jc w:val="right"/>
            </w:pPr>
            <w:r>
              <w:rPr>
                <w:rFonts w:ascii="Arial" w:hAnsi="Arial"/>
                <w:sz w:val="18"/>
              </w:rPr>
              <w:t xml:space="preserve">318</w:t>
            </w:r>
          </w:p>
        </w:tc>
        <w:tc>
          <w:tcPr/>
          <w:p>
            <w:pPr>
              <w:pStyle w:val="Compact"/>
              <w:jc w:val="right"/>
            </w:pPr>
            <w:r>
              <w:rPr>
                <w:rFonts w:ascii="Arial" w:hAnsi="Arial"/>
                <w:sz w:val="18"/>
              </w:rPr>
              <w:t xml:space="preserve">$10.2M</w:t>
            </w:r>
          </w:p>
        </w:tc>
        <w:tc>
          <w:tcPr/>
          <w:p>
            <w:pPr>
              <w:pStyle w:val="Compact"/>
              <w:jc w:val="right"/>
            </w:pPr>
            <w:r>
              <w:rPr>
                <w:rFonts w:ascii="Arial" w:hAnsi="Arial"/>
                <w:sz w:val="18"/>
              </w:rPr>
              <w:t xml:space="preserve">$29.1M</w:t>
            </w:r>
          </w:p>
        </w:tc>
        <w:tc>
          <w:tcPr/>
          <w:p>
            <w:pPr>
              <w:pStyle w:val="Compact"/>
              <w:jc w:val="right"/>
            </w:pPr>
            <w:r>
              <w:rPr>
                <w:rFonts w:ascii="Arial" w:hAnsi="Arial"/>
                <w:sz w:val="18"/>
              </w:rPr>
              <w:t xml:space="preserve">$1,493</w:t>
            </w:r>
          </w:p>
        </w:tc>
        <w:tc>
          <w:tcPr/>
          <w:p>
            <w:pPr>
              <w:pStyle w:val="Compact"/>
              <w:jc w:val="right"/>
            </w:pPr>
            <w:r>
              <w:rPr>
                <w:rFonts w:ascii="Arial" w:hAnsi="Arial"/>
                <w:sz w:val="18"/>
              </w:rPr>
              <w:t xml:space="preserve">$6,412</w:t>
            </w:r>
          </w:p>
        </w:tc>
        <w:tc>
          <w:tcPr/>
          <w:p>
            <w:pPr>
              <w:pStyle w:val="Compact"/>
              <w:jc w:val="right"/>
            </w:pPr>
            <w:r>
              <w:rPr>
                <w:bCs/>
                <w:rFonts w:ascii="Arial" w:hAnsi="Arial"/>
                <w:b/>
                <w:sz w:val="18"/>
              </w:rPr>
              <w:t xml:space="preserve">$7,905</w:t>
            </w:r>
          </w:p>
        </w:tc>
      </w:tr>
      <w:tr>
        <w:tc>
          <w:tcPr/>
          <w:p>
            <w:pPr>
              <w:pStyle w:val="Compact"/>
              <w:jc w:val="right"/>
            </w:pPr>
            <w:r>
              <w:rPr>
                <w:rFonts w:ascii="Arial" w:hAnsi="Arial"/>
                <w:sz w:val="18"/>
              </w:rPr>
              <w:t xml:space="preserve">5</w:t>
            </w:r>
          </w:p>
        </w:tc>
        <w:tc>
          <w:tcPr/>
          <w:p>
            <w:pPr>
              <w:pStyle w:val="Compact"/>
              <w:jc w:val="left"/>
            </w:pPr>
            <w:r>
              <w:rPr>
                <w:rFonts w:ascii="Arial" w:hAnsi="Arial"/>
                <w:sz w:val="18"/>
              </w:rPr>
              <w:t xml:space="preserve">Dawes</w:t>
            </w:r>
          </w:p>
        </w:tc>
        <w:tc>
          <w:tcPr/>
          <w:p>
            <w:pPr>
              <w:pStyle w:val="Compact"/>
              <w:jc w:val="right"/>
            </w:pPr>
            <w:r>
              <w:rPr>
                <w:rFonts w:ascii="Arial" w:hAnsi="Arial"/>
                <w:sz w:val="18"/>
              </w:rPr>
              <w:t xml:space="preserve">288</w:t>
            </w:r>
          </w:p>
        </w:tc>
        <w:tc>
          <w:tcPr/>
          <w:p>
            <w:pPr>
              <w:pStyle w:val="Compact"/>
              <w:jc w:val="right"/>
            </w:pPr>
            <w:r>
              <w:rPr>
                <w:rFonts w:ascii="Arial" w:hAnsi="Arial"/>
                <w:sz w:val="18"/>
              </w:rPr>
              <w:t xml:space="preserve">326</w:t>
            </w:r>
          </w:p>
        </w:tc>
        <w:tc>
          <w:tcPr/>
          <w:p>
            <w:pPr>
              <w:pStyle w:val="Compact"/>
              <w:jc w:val="right"/>
            </w:pPr>
            <w:r>
              <w:rPr>
                <w:rFonts w:ascii="Arial" w:hAnsi="Arial"/>
                <w:sz w:val="18"/>
              </w:rPr>
              <w:t xml:space="preserve">$10.3M</w:t>
            </w:r>
          </w:p>
        </w:tc>
        <w:tc>
          <w:tcPr/>
          <w:p>
            <w:pPr>
              <w:pStyle w:val="Compact"/>
              <w:jc w:val="right"/>
            </w:pPr>
            <w:r>
              <w:rPr>
                <w:rFonts w:ascii="Arial" w:hAnsi="Arial"/>
                <w:sz w:val="18"/>
              </w:rPr>
              <w:t xml:space="preserve">$31.5M</w:t>
            </w:r>
          </w:p>
        </w:tc>
        <w:tc>
          <w:tcPr/>
          <w:p>
            <w:pPr>
              <w:pStyle w:val="Compact"/>
              <w:jc w:val="right"/>
            </w:pPr>
            <w:r>
              <w:rPr>
                <w:rFonts w:ascii="Arial" w:hAnsi="Arial"/>
                <w:sz w:val="18"/>
              </w:rPr>
              <w:t xml:space="preserve">$1,555</w:t>
            </w:r>
          </w:p>
        </w:tc>
        <w:tc>
          <w:tcPr/>
          <w:p>
            <w:pPr>
              <w:pStyle w:val="Compact"/>
              <w:jc w:val="right"/>
            </w:pPr>
            <w:r>
              <w:rPr>
                <w:rFonts w:ascii="Arial" w:hAnsi="Arial"/>
                <w:sz w:val="18"/>
              </w:rPr>
              <w:t xml:space="preserve">$6,318</w:t>
            </w:r>
          </w:p>
        </w:tc>
        <w:tc>
          <w:tcPr/>
          <w:p>
            <w:pPr>
              <w:pStyle w:val="Compact"/>
              <w:jc w:val="right"/>
            </w:pPr>
            <w:r>
              <w:rPr>
                <w:bCs/>
                <w:rFonts w:ascii="Arial" w:hAnsi="Arial"/>
                <w:b/>
                <w:sz w:val="18"/>
              </w:rPr>
              <w:t xml:space="preserve">$7,873</w:t>
            </w:r>
          </w:p>
        </w:tc>
      </w:tr>
      <w:tr>
        <w:tc>
          <w:tcPr/>
          <w:p>
            <w:pPr>
              <w:pStyle w:val="Compact"/>
              <w:jc w:val="right"/>
            </w:pPr>
            <w:r>
              <w:rPr>
                <w:rFonts w:ascii="Arial" w:hAnsi="Arial"/>
                <w:sz w:val="18"/>
              </w:rPr>
              <w:t xml:space="preserve">6</w:t>
            </w:r>
          </w:p>
        </w:tc>
        <w:tc>
          <w:tcPr/>
          <w:p>
            <w:pPr>
              <w:pStyle w:val="Compact"/>
              <w:jc w:val="left"/>
            </w:pPr>
            <w:r>
              <w:rPr>
                <w:rFonts w:ascii="Arial" w:hAnsi="Arial"/>
                <w:sz w:val="18"/>
              </w:rPr>
              <w:t xml:space="preserve">Oakton</w:t>
            </w:r>
          </w:p>
        </w:tc>
        <w:tc>
          <w:tcPr/>
          <w:p>
            <w:pPr>
              <w:pStyle w:val="Compact"/>
              <w:jc w:val="right"/>
            </w:pPr>
            <w:r>
              <w:rPr>
                <w:rFonts w:ascii="Arial" w:hAnsi="Arial"/>
                <w:sz w:val="18"/>
              </w:rPr>
              <w:t xml:space="preserve">367</w:t>
            </w:r>
          </w:p>
        </w:tc>
        <w:tc>
          <w:tcPr/>
          <w:p>
            <w:pPr>
              <w:pStyle w:val="Compact"/>
              <w:jc w:val="right"/>
            </w:pPr>
            <w:r>
              <w:rPr>
                <w:rFonts w:ascii="Arial" w:hAnsi="Arial"/>
                <w:sz w:val="18"/>
              </w:rPr>
              <w:t xml:space="preserve">390</w:t>
            </w:r>
          </w:p>
        </w:tc>
        <w:tc>
          <w:tcPr/>
          <w:p>
            <w:pPr>
              <w:pStyle w:val="Compact"/>
              <w:jc w:val="right"/>
            </w:pPr>
            <w:r>
              <w:rPr>
                <w:rFonts w:ascii="Arial" w:hAnsi="Arial"/>
                <w:sz w:val="18"/>
              </w:rPr>
              <w:t xml:space="preserve">$10.6M</w:t>
            </w:r>
          </w:p>
        </w:tc>
        <w:tc>
          <w:tcPr/>
          <w:p>
            <w:pPr>
              <w:pStyle w:val="Compact"/>
              <w:jc w:val="right"/>
            </w:pPr>
            <w:r>
              <w:rPr>
                <w:rFonts w:ascii="Arial" w:hAnsi="Arial"/>
                <w:sz w:val="18"/>
              </w:rPr>
              <w:t xml:space="preserve">$36.6M</w:t>
            </w:r>
          </w:p>
        </w:tc>
        <w:tc>
          <w:tcPr/>
          <w:p>
            <w:pPr>
              <w:pStyle w:val="Compact"/>
              <w:jc w:val="right"/>
            </w:pPr>
            <w:r>
              <w:rPr>
                <w:rFonts w:ascii="Arial" w:hAnsi="Arial"/>
                <w:sz w:val="18"/>
              </w:rPr>
              <w:t xml:space="preserve">$1,673</w:t>
            </w:r>
          </w:p>
        </w:tc>
        <w:tc>
          <w:tcPr/>
          <w:p>
            <w:pPr>
              <w:pStyle w:val="Compact"/>
              <w:jc w:val="right"/>
            </w:pPr>
            <w:r>
              <w:rPr>
                <w:rFonts w:ascii="Arial" w:hAnsi="Arial"/>
                <w:sz w:val="18"/>
              </w:rPr>
              <w:t xml:space="preserve">$5,440</w:t>
            </w:r>
          </w:p>
        </w:tc>
        <w:tc>
          <w:tcPr/>
          <w:p>
            <w:pPr>
              <w:pStyle w:val="Compact"/>
              <w:jc w:val="right"/>
            </w:pPr>
            <w:r>
              <w:rPr>
                <w:bCs/>
                <w:rFonts w:ascii="Arial" w:hAnsi="Arial"/>
                <w:b/>
                <w:sz w:val="18"/>
              </w:rPr>
              <w:t xml:space="preserve">$7,113</w:t>
            </w:r>
          </w:p>
        </w:tc>
      </w:tr>
      <w:tr>
        <w:tc>
          <w:tcPr/>
          <w:p>
            <w:pPr>
              <w:pStyle w:val="Compact"/>
              <w:jc w:val="right"/>
            </w:pPr>
            <w:r>
              <w:rPr>
                <w:rFonts w:ascii="Arial" w:hAnsi="Arial"/>
                <w:sz w:val="18"/>
              </w:rPr>
              <w:t xml:space="preserve">7</w:t>
            </w:r>
          </w:p>
        </w:tc>
        <w:tc>
          <w:tcPr/>
          <w:p>
            <w:pPr>
              <w:pStyle w:val="Compact"/>
              <w:jc w:val="left"/>
            </w:pPr>
            <w:r>
              <w:rPr>
                <w:rFonts w:ascii="Arial" w:hAnsi="Arial"/>
                <w:sz w:val="18"/>
              </w:rPr>
              <w:t xml:space="preserve">Dewey</w:t>
            </w:r>
          </w:p>
        </w:tc>
        <w:tc>
          <w:tcPr/>
          <w:p>
            <w:pPr>
              <w:pStyle w:val="Compact"/>
              <w:jc w:val="right"/>
            </w:pPr>
            <w:r>
              <w:rPr>
                <w:rFonts w:ascii="Arial" w:hAnsi="Arial"/>
                <w:sz w:val="18"/>
              </w:rPr>
              <w:t xml:space="preserve">315</w:t>
            </w:r>
          </w:p>
        </w:tc>
        <w:tc>
          <w:tcPr/>
          <w:p>
            <w:pPr>
              <w:pStyle w:val="Compact"/>
              <w:jc w:val="right"/>
            </w:pPr>
            <w:r>
              <w:rPr>
                <w:rFonts w:ascii="Arial" w:hAnsi="Arial"/>
                <w:sz w:val="18"/>
              </w:rPr>
              <w:t xml:space="preserve">362</w:t>
            </w:r>
          </w:p>
        </w:tc>
        <w:tc>
          <w:tcPr/>
          <w:p>
            <w:pPr>
              <w:pStyle w:val="Compact"/>
              <w:jc w:val="right"/>
            </w:pPr>
            <w:r>
              <w:rPr>
                <w:rFonts w:ascii="Arial" w:hAnsi="Arial"/>
                <w:sz w:val="18"/>
              </w:rPr>
              <w:t xml:space="preserve">$8.3M</w:t>
            </w:r>
          </w:p>
        </w:tc>
        <w:tc>
          <w:tcPr/>
          <w:p>
            <w:pPr>
              <w:pStyle w:val="Compact"/>
              <w:jc w:val="right"/>
            </w:pPr>
            <w:r>
              <w:rPr>
                <w:rFonts w:ascii="Arial" w:hAnsi="Arial"/>
                <w:sz w:val="18"/>
              </w:rPr>
              <w:t xml:space="preserve">$26.7M</w:t>
            </w:r>
          </w:p>
        </w:tc>
        <w:tc>
          <w:tcPr/>
          <w:p>
            <w:pPr>
              <w:pStyle w:val="Compact"/>
              <w:jc w:val="right"/>
            </w:pPr>
            <w:r>
              <w:rPr>
                <w:rFonts w:ascii="Arial" w:hAnsi="Arial"/>
                <w:sz w:val="18"/>
              </w:rPr>
              <w:t xml:space="preserve">$1,507</w:t>
            </w:r>
          </w:p>
        </w:tc>
        <w:tc>
          <w:tcPr/>
          <w:p>
            <w:pPr>
              <w:pStyle w:val="Compact"/>
              <w:jc w:val="right"/>
            </w:pPr>
            <w:r>
              <w:rPr>
                <w:rFonts w:ascii="Arial" w:hAnsi="Arial"/>
                <w:sz w:val="18"/>
              </w:rPr>
              <w:t xml:space="preserve">$4,582</w:t>
            </w:r>
          </w:p>
        </w:tc>
        <w:tc>
          <w:tcPr/>
          <w:p>
            <w:pPr>
              <w:pStyle w:val="Compact"/>
              <w:jc w:val="right"/>
            </w:pPr>
            <w:r>
              <w:rPr>
                <w:bCs/>
                <w:rFonts w:ascii="Arial" w:hAnsi="Arial"/>
                <w:b/>
                <w:sz w:val="18"/>
              </w:rPr>
              <w:t xml:space="preserve">$6,089</w:t>
            </w:r>
          </w:p>
        </w:tc>
      </w:tr>
      <w:tr>
        <w:tc>
          <w:tcPr/>
          <w:p>
            <w:pPr>
              <w:pStyle w:val="Compact"/>
              <w:jc w:val="right"/>
            </w:pPr>
            <w:r>
              <w:rPr>
                <w:rFonts w:ascii="Arial" w:hAnsi="Arial"/>
                <w:sz w:val="18"/>
              </w:rPr>
              <w:t xml:space="preserve">8</w:t>
            </w:r>
          </w:p>
        </w:tc>
        <w:tc>
          <w:tcPr/>
          <w:p>
            <w:pPr>
              <w:pStyle w:val="Compact"/>
              <w:jc w:val="left"/>
            </w:pPr>
            <w:r>
              <w:rPr>
                <w:rFonts w:ascii="Arial" w:hAnsi="Arial"/>
                <w:sz w:val="18"/>
              </w:rPr>
              <w:t xml:space="preserve">Orrington</w:t>
            </w:r>
          </w:p>
        </w:tc>
        <w:tc>
          <w:tcPr/>
          <w:p>
            <w:pPr>
              <w:pStyle w:val="Compact"/>
              <w:jc w:val="right"/>
            </w:pPr>
            <w:r>
              <w:rPr>
                <w:rFonts w:ascii="Arial" w:hAnsi="Arial"/>
                <w:sz w:val="18"/>
              </w:rPr>
              <w:t xml:space="preserve">251</w:t>
            </w:r>
          </w:p>
        </w:tc>
        <w:tc>
          <w:tcPr/>
          <w:p>
            <w:pPr>
              <w:pStyle w:val="Compact"/>
              <w:jc w:val="right"/>
            </w:pPr>
            <w:r>
              <w:rPr>
                <w:rFonts w:ascii="Arial" w:hAnsi="Arial"/>
                <w:sz w:val="18"/>
              </w:rPr>
              <w:t xml:space="preserve">316</w:t>
            </w:r>
          </w:p>
        </w:tc>
        <w:tc>
          <w:tcPr/>
          <w:p>
            <w:pPr>
              <w:pStyle w:val="Compact"/>
              <w:jc w:val="right"/>
            </w:pPr>
            <w:r>
              <w:rPr>
                <w:rFonts w:ascii="Arial" w:hAnsi="Arial"/>
                <w:sz w:val="18"/>
              </w:rPr>
              <w:t xml:space="preserve">$6.0M</w:t>
            </w:r>
          </w:p>
        </w:tc>
        <w:tc>
          <w:tcPr/>
          <w:p>
            <w:pPr>
              <w:pStyle w:val="Compact"/>
              <w:jc w:val="right"/>
            </w:pPr>
            <w:r>
              <w:rPr>
                <w:rFonts w:ascii="Arial" w:hAnsi="Arial"/>
                <w:sz w:val="18"/>
              </w:rPr>
              <w:t xml:space="preserve">$25.2M</w:t>
            </w:r>
          </w:p>
        </w:tc>
        <w:tc>
          <w:tcPr/>
          <w:p>
            <w:pPr>
              <w:pStyle w:val="Compact"/>
              <w:jc w:val="right"/>
            </w:pPr>
            <w:r>
              <w:rPr>
                <w:rFonts w:ascii="Arial" w:hAnsi="Arial"/>
                <w:sz w:val="18"/>
              </w:rPr>
              <w:t xml:space="preserve">$1,438</w:t>
            </w:r>
          </w:p>
        </w:tc>
        <w:tc>
          <w:tcPr/>
          <w:p>
            <w:pPr>
              <w:pStyle w:val="Compact"/>
              <w:jc w:val="right"/>
            </w:pPr>
            <w:r>
              <w:rPr>
                <w:rFonts w:ascii="Arial" w:hAnsi="Arial"/>
                <w:sz w:val="18"/>
              </w:rPr>
              <w:t xml:space="preserve">$3,793</w:t>
            </w:r>
          </w:p>
        </w:tc>
        <w:tc>
          <w:tcPr/>
          <w:p>
            <w:pPr>
              <w:pStyle w:val="Compact"/>
              <w:jc w:val="right"/>
            </w:pPr>
            <w:r>
              <w:rPr>
                <w:bCs/>
                <w:rFonts w:ascii="Arial" w:hAnsi="Arial"/>
                <w:b/>
                <w:sz w:val="18"/>
              </w:rPr>
              <w:t xml:space="preserve">$5,231</w:t>
            </w:r>
          </w:p>
        </w:tc>
      </w:tr>
      <w:tr>
        <w:tc>
          <w:tcPr/>
          <w:p>
            <w:pPr>
              <w:pStyle w:val="Compact"/>
              <w:jc w:val="right"/>
            </w:pPr>
            <w:r>
              <w:rPr>
                <w:rFonts w:ascii="Arial" w:hAnsi="Arial"/>
                <w:sz w:val="18"/>
              </w:rPr>
              <w:t xml:space="preserve">9</w:t>
            </w:r>
          </w:p>
        </w:tc>
        <w:tc>
          <w:tcPr/>
          <w:p>
            <w:pPr>
              <w:pStyle w:val="Compact"/>
              <w:jc w:val="left"/>
            </w:pPr>
            <w:r>
              <w:rPr>
                <w:rFonts w:ascii="Arial" w:hAnsi="Arial"/>
                <w:sz w:val="18"/>
              </w:rPr>
              <w:t xml:space="preserve">Lincoln</w:t>
            </w:r>
          </w:p>
        </w:tc>
        <w:tc>
          <w:tcPr/>
          <w:p>
            <w:pPr>
              <w:pStyle w:val="Compact"/>
              <w:jc w:val="right"/>
            </w:pPr>
            <w:r>
              <w:rPr>
                <w:rFonts w:ascii="Arial" w:hAnsi="Arial"/>
                <w:sz w:val="18"/>
              </w:rPr>
              <w:t xml:space="preserve">350</w:t>
            </w:r>
          </w:p>
        </w:tc>
        <w:tc>
          <w:tcPr/>
          <w:p>
            <w:pPr>
              <w:pStyle w:val="Compact"/>
              <w:jc w:val="right"/>
            </w:pPr>
            <w:r>
              <w:rPr>
                <w:rFonts w:ascii="Arial" w:hAnsi="Arial"/>
                <w:sz w:val="18"/>
              </w:rPr>
              <w:t xml:space="preserve">407</w:t>
            </w:r>
          </w:p>
        </w:tc>
        <w:tc>
          <w:tcPr/>
          <w:p>
            <w:pPr>
              <w:pStyle w:val="Compact"/>
              <w:jc w:val="right"/>
            </w:pPr>
            <w:r>
              <w:rPr>
                <w:rFonts w:ascii="Arial" w:hAnsi="Arial"/>
                <w:sz w:val="18"/>
              </w:rPr>
              <w:t xml:space="preserve">$7.5M</w:t>
            </w:r>
          </w:p>
        </w:tc>
        <w:tc>
          <w:tcPr/>
          <w:p>
            <w:pPr>
              <w:pStyle w:val="Compact"/>
              <w:jc w:val="right"/>
            </w:pPr>
            <w:r>
              <w:rPr>
                <w:rFonts w:ascii="Arial" w:hAnsi="Arial"/>
                <w:sz w:val="18"/>
              </w:rPr>
              <w:t xml:space="preserve">$34.0M</w:t>
            </w:r>
          </w:p>
        </w:tc>
        <w:tc>
          <w:tcPr/>
          <w:p>
            <w:pPr>
              <w:pStyle w:val="Compact"/>
              <w:jc w:val="right"/>
            </w:pPr>
            <w:r>
              <w:rPr>
                <w:rFonts w:ascii="Arial" w:hAnsi="Arial"/>
                <w:sz w:val="18"/>
              </w:rPr>
              <w:t xml:space="preserve">$1,438</w:t>
            </w:r>
          </w:p>
        </w:tc>
        <w:tc>
          <w:tcPr/>
          <w:p>
            <w:pPr>
              <w:pStyle w:val="Compact"/>
              <w:jc w:val="right"/>
            </w:pPr>
            <w:r>
              <w:rPr>
                <w:rFonts w:ascii="Arial" w:hAnsi="Arial"/>
                <w:sz w:val="18"/>
              </w:rPr>
              <w:t xml:space="preserve">$3,687</w:t>
            </w:r>
          </w:p>
        </w:tc>
        <w:tc>
          <w:tcPr/>
          <w:p>
            <w:pPr>
              <w:pStyle w:val="Compact"/>
              <w:jc w:val="right"/>
            </w:pPr>
            <w:r>
              <w:rPr>
                <w:bCs/>
                <w:rFonts w:ascii="Arial" w:hAnsi="Arial"/>
                <w:b/>
                <w:sz w:val="18"/>
              </w:rPr>
              <w:t xml:space="preserve">$5,125</w:t>
            </w:r>
          </w:p>
        </w:tc>
      </w:tr>
    </w:tbl>
    <w:p>
      <w:pPr>
        <w:pStyle w:val="BodyText"/>
      </w:pPr>
      <w:r>
        <w:t xml:space="preserve">*Scenario-average students = the building's average 2027–28 enrollment across the closure scenarios in section 02 where it stays open and at or under capacity (90% of displaced students stay), the same basis as the handout's "per student, scenario avg" column. Operating per student is the handout's figure. Capital per student = 2027–31 total ÷ 5 ÷ scenario-average students. Capital totals are the facility plan's escalated figures (pp. 22–23).</w:t>
      </w:r>
    </w:p>
    <w:p>
      <w:pPr>
        <w:pStyle w:val="BodyText"/>
      </w:pPr>
      <w:r>
        <w:rPr>
          <w:bCs/>
          <w:b/>
        </w:rPr>
        <w:t xml:space="preserve">What changes when capital needs are included</w:t>
      </w:r>
    </w:p>
    <w:p>
      <w:pPr>
        <w:numPr>
          <w:ilvl w:val="0"/>
          <w:numId w:val="1008"/>
        </w:numPr>
        <w:pStyle w:val="Compact"/>
      </w:pPr>
      <w:r>
        <w:rPr>
          <w:bCs/>
          <w:b/>
        </w:rPr>
        <w:t xml:space="preserve">Capital dwarfs operating costs.</w:t>
      </w:r>
      <w:r>
        <w:t xml:space="preserve"> </w:t>
      </w:r>
      <w:r>
        <w:t xml:space="preserve">At scenario-average enrollment, capital needs run $3,687–7,690 per student a year against $1,438–1,673 in operating costs, 2.6–5 times as much. Across these nine buildings that's $18.5M a year in capital against $4.9M in operating costs.</w:t>
      </w:r>
    </w:p>
    <w:p>
      <w:pPr>
        <w:numPr>
          <w:ilvl w:val="0"/>
          <w:numId w:val="1008"/>
        </w:numPr>
        <w:pStyle w:val="Compact"/>
      </w:pPr>
      <w:r>
        <w:rPr>
          <w:bCs/>
          <w:b/>
        </w:rPr>
        <w:t xml:space="preserve">The ranking shifts.</w:t>
      </w:r>
    </w:p>
    <w:p>
      <w:pPr>
        <w:numPr>
          <w:ilvl w:val="1"/>
          <w:numId w:val="1009"/>
        </w:numPr>
        <w:pStyle w:val="Compact"/>
      </w:pPr>
      <w:r>
        <w:rPr>
          <w:bCs/>
          <w:b/>
        </w:rPr>
        <w:t xml:space="preserve">Most expensive:</w:t>
      </w:r>
      <w:r>
        <w:t xml:space="preserve"> </w:t>
      </w:r>
      <w:r>
        <w:t xml:space="preserve">Washington (</w:t>
      </w:r>
      <m:oMath>
        <m:r>
          <m:t>9</m:t>
        </m:r>
        <m:r>
          <m:rPr>
            <m:sty m:val="p"/>
          </m:rPr>
          <m:t>,</m:t>
        </m:r>
        <m:r>
          <m:t>218</m:t>
        </m:r>
        <m:r>
          <m:rPr>
            <m:sty m:val="p"/>
          </m:rPr>
          <m:t>)</m:t>
        </m:r>
        <m:r>
          <m:t>a</m:t>
        </m:r>
        <m:r>
          <m:t>n</m:t>
        </m:r>
        <m:r>
          <m:t>d</m:t>
        </m:r>
        <m:r>
          <m:t>W</m:t>
        </m:r>
        <m:r>
          <m:t>i</m:t>
        </m:r>
        <m:r>
          <m:t>l</m:t>
        </m:r>
        <m:r>
          <m:t>l</m:t>
        </m:r>
        <m:r>
          <m:t>a</m:t>
        </m:r>
        <m:r>
          <m:t>r</m:t>
        </m:r>
        <m:r>
          <m:t>d</m:t>
        </m:r>
        <m:r>
          <m:rPr>
            <m:sty m:val="p"/>
          </m:rPr>
          <m:t>(</m:t>
        </m:r>
      </m:oMath>
      <w:r>
        <w:t xml:space="preserve">9,175) per student, then Lincolnwood ($8,102). Willard's cost per student falls from $11,610 at today's enrollment because it gains the most students in the scenarios (273 → 346 on average).</w:t>
      </w:r>
    </w:p>
    <w:p>
      <w:pPr>
        <w:numPr>
          <w:ilvl w:val="1"/>
          <w:numId w:val="1009"/>
        </w:numPr>
        <w:pStyle w:val="Compact"/>
      </w:pPr>
      <w:r>
        <w:rPr>
          <w:bCs/>
          <w:b/>
        </w:rPr>
        <w:t xml:space="preserve">Least expensive:</w:t>
      </w:r>
      <w:r>
        <w:t xml:space="preserve"> </w:t>
      </w:r>
      <w:r>
        <w:t xml:space="preserve">Lincoln (</w:t>
      </w:r>
      <m:oMath>
        <m:r>
          <m:t>5</m:t>
        </m:r>
        <m:r>
          <m:rPr>
            <m:sty m:val="p"/>
          </m:rPr>
          <m:t>,</m:t>
        </m:r>
        <m:r>
          <m:t>125</m:t>
        </m:r>
        <m:r>
          <m:rPr>
            <m:sty m:val="p"/>
          </m:rPr>
          <m:t>)</m:t>
        </m:r>
        <m:r>
          <m:t>a</m:t>
        </m:r>
        <m:r>
          <m:t>n</m:t>
        </m:r>
        <m:r>
          <m:t>d</m:t>
        </m:r>
        <m:r>
          <m:t>O</m:t>
        </m:r>
        <m:r>
          <m:t>r</m:t>
        </m:r>
        <m:r>
          <m:t>r</m:t>
        </m:r>
        <m:r>
          <m:t>i</m:t>
        </m:r>
        <m:r>
          <m:t>n</m:t>
        </m:r>
        <m:r>
          <m:t>g</m:t>
        </m:r>
        <m:r>
          <m:t>t</m:t>
        </m:r>
        <m:r>
          <m:t>o</m:t>
        </m:r>
        <m:r>
          <m:t>n</m:t>
        </m:r>
        <m:r>
          <m:rPr>
            <m:sty m:val="p"/>
          </m:rPr>
          <m:t>(</m:t>
        </m:r>
      </m:oMath>
      <w:r>
        <w:t xml:space="preserve">5,231), then Dewey ($6,089).</w:t>
      </w:r>
    </w:p>
    <w:p>
      <w:pPr>
        <w:numPr>
          <w:ilvl w:val="1"/>
          <w:numId w:val="1009"/>
        </w:numPr>
        <w:pStyle w:val="Compact"/>
      </w:pPr>
      <w:r>
        <w:t xml:space="preserve">On operating costs alone, Oakton, Dawes and Lincolnwood were the costliest at scenario average. With capital needs, Oakton drops to 6th and Dawes to 5th.</w:t>
      </w:r>
    </w:p>
    <w:p>
      <w:pPr>
        <w:numPr>
          <w:ilvl w:val="0"/>
          <w:numId w:val="1008"/>
        </w:numPr>
        <w:pStyle w:val="Compact"/>
      </w:pPr>
      <w:r>
        <w:rPr>
          <w:bCs/>
          <w:b/>
        </w:rPr>
        <w:t xml:space="preserve">Closure savings could be much larger, but only if the building leaves the district's books.</w:t>
      </w:r>
      <w:r>
        <w:t xml:space="preserve"> </w:t>
      </w:r>
      <w:r>
        <w:t xml:space="preserve">The handout's $0.2–0.7M a year per closure counts operating costs only. A closed building that is sold, leased long-term or demolished also avoids its capital needs: $1.2–3.1M a year for the K–5 schools in 2027–31, or $6–15M over the five years. A building that is only mothballed still needs a roof, envelope, heat and life-safety upkeep, so most of that need stays.</w:t>
      </w:r>
    </w:p>
    <w:p>
      <w:pPr>
        <w:numPr>
          <w:ilvl w:val="0"/>
          <w:numId w:val="1008"/>
        </w:numPr>
        <w:pStyle w:val="Compact"/>
      </w:pPr>
      <w:r>
        <w:rPr>
          <w:bCs/>
          <w:b/>
        </w:rPr>
        <w:t xml:space="preserve">Receiving schools' capital needs don't shrink.</w:t>
      </w:r>
      <w:r>
        <w:t xml:space="preserve"> </w:t>
      </w:r>
      <w:r>
        <w:t xml:space="preserve">The facility plan's needs are driven by building condition, not enrollment. Moving students into a building lowers its cost per student but not the dollars.</w:t>
      </w:r>
    </w:p>
    <w:p>
      <w:pPr>
        <w:numPr>
          <w:ilvl w:val="0"/>
          <w:numId w:val="1008"/>
        </w:numPr>
        <w:pStyle w:val="Compact"/>
      </w:pPr>
      <w:r>
        <w:rPr>
          <w:bCs/>
          <w:b/>
        </w:rPr>
        <w:t xml:space="preserve">Treat these as planning estimates.</w:t>
      </w:r>
    </w:p>
    <w:p>
      <w:pPr>
        <w:numPr>
          <w:ilvl w:val="1"/>
          <w:numId w:val="1010"/>
        </w:numPr>
        <w:pStyle w:val="Compact"/>
      </w:pPr>
      <w:r>
        <w:t xml:space="preserve">The plan's figures are escalated at 4.5% a year.</w:t>
      </w:r>
    </w:p>
    <w:p>
      <w:pPr>
        <w:numPr>
          <w:ilvl w:val="1"/>
          <w:numId w:val="1010"/>
        </w:numPr>
        <w:pStyle w:val="Compact"/>
      </w:pPr>
      <w:r>
        <w:t xml:space="preserve">The 2027–31 window leaves out the district-wide spike in 2034 ($131.7M, when many systems come due at once), so longer-range averages run higher for most buildings.</w:t>
      </w:r>
    </w:p>
    <w:p>
      <w:pPr>
        <w:numPr>
          <w:ilvl w:val="1"/>
          <w:numId w:val="1010"/>
        </w:numPr>
        <w:pStyle w:val="Compact"/>
      </w:pPr>
      <w:r>
        <w:t xml:space="preserve">The plan is a draft, and it doesn't separate must-do safety items from discretionary upgrades.</w:t>
      </w:r>
    </w:p>
    <w:p>
      <w:r>
        <w:pict>
          <v:rect style="width:0;height:1.5pt" o:hralign="center" o:hrstd="t" o:hr="t"/>
        </w:pict>
      </w:r>
    </w:p>
    <w:bookmarkEnd w:id="35"/>
    <w:bookmarkEnd w:id="36"/>
    <w:bookmarkStart w:id="42" w:name="X63d74e19900b3a6f6df7be11f015ea56a1e2ca9"/>
    <w:p>
      <w:pPr>
        <w:pStyle w:val="Heading2"/>
      </w:pPr>
      <w:r>
        <w:t xml:space="preserve">02 · Closure scenarios: what closures would do to the receiving schools</w:t>
      </w:r>
    </w:p>
    <w:p>
      <w:pPr>
        <w:pStyle w:val="FirstParagraph"/>
      </w:pPr>
      <w:r>
        <w:t xml:space="preserve">Each closed school's projected 2027–28 students go to its receiving schools, with 90% staying in D65. Pairs close one south school (Dewey, Washington, Oakton or</w:t>
      </w:r>
      <w:r>
        <w:t xml:space="preserve"> </w:t>
      </w:r>
      <w:r>
        <w:rPr>
          <w:bCs/>
          <w:b/>
        </w:rPr>
        <w:t xml:space="preserve">Dawes</w:t>
      </w:r>
      <w:r>
        <w:t xml:space="preserve">) and one north school (Willard, Lincolnwood or Orrington). "Kept together" sends a school to one building; "split" divides it by open seats.</w:t>
      </w:r>
    </w:p>
    <w:p>
      <w:pPr>
        <w:pStyle w:val="BodyText"/>
      </w:pPr>
      <w:r>
        <w:drawing>
          <wp:inline>
            <wp:extent cx="6035040" cy="4949545"/>
            <wp:effectExtent b="0" l="0" r="0" t="0"/>
            <wp:docPr descr="Projected 2027–28 K–5 utilization after each closure scenario, at 90% retention" title="" id="38" name="Picture"/>
            <a:graphic>
              <a:graphicData uri="http://schemas.openxmlformats.org/drawingml/2006/picture">
                <pic:pic>
                  <pic:nvPicPr>
                    <pic:cNvPr descr="images/budget_handout/closure_utilization_grid.png" id="39" name="Picture"/>
                    <pic:cNvPicPr>
                      <a:picLocks noChangeArrowheads="1" noChangeAspect="1"/>
                    </pic:cNvPicPr>
                  </pic:nvPicPr>
                  <pic:blipFill>
                    <a:blip r:embed="rId37"/>
                    <a:stretch>
                      <a:fillRect/>
                    </a:stretch>
                  </pic:blipFill>
                  <pic:spPr bwMode="auto">
                    <a:xfrm>
                      <a:off x="0" y="0"/>
                      <a:ext cx="6035040" cy="4949545"/>
                    </a:xfrm>
                    <a:prstGeom prst="rect">
                      <a:avLst/>
                    </a:prstGeom>
                    <a:noFill/>
                    <a:ln w="9525">
                      <a:noFill/>
                      <a:headEnd/>
                      <a:tailEnd/>
                    </a:ln>
                  </pic:spPr>
                </pic:pic>
              </a:graphicData>
            </a:graphic>
          </wp:inline>
        </w:drawing>
      </w:r>
    </w:p>
    <w:bookmarkStart w:id="40" w:name="one-closure"/>
    <w:p>
      <w:pPr>
        <w:pStyle w:val="Heading3"/>
      </w:pPr>
      <w:r>
        <w:t xml:space="preserve">One closure</w:t>
      </w:r>
    </w:p>
    <w:p>
      <w:pPr>
        <w:numPr>
          <w:ilvl w:val="0"/>
          <w:numId w:val="1011"/>
        </w:numPr>
        <w:pStyle w:val="Compact"/>
      </w:pPr>
      <w:r>
        <w:rPr>
          <w:bCs/>
          <w:b/>
        </w:rPr>
        <w:t xml:space="preserve">Dewey</w:t>
      </w:r>
      <w:r>
        <w:t xml:space="preserve">, split three ways, leaves every receiver at 74–78%, but its TWI strand needs a new home.</w:t>
      </w:r>
    </w:p>
    <w:p>
      <w:pPr>
        <w:numPr>
          <w:ilvl w:val="0"/>
          <w:numId w:val="1011"/>
        </w:numPr>
        <w:pStyle w:val="Compact"/>
      </w:pPr>
      <w:r>
        <w:rPr>
          <w:bCs/>
          <w:b/>
        </w:rPr>
        <w:t xml:space="preserve">Orrington</w:t>
      </w:r>
      <w:r>
        <w:t xml:space="preserve">, kept together, fills Willard to 90% and all 24 of its classrooms.</w:t>
      </w:r>
    </w:p>
    <w:p>
      <w:pPr>
        <w:numPr>
          <w:ilvl w:val="0"/>
          <w:numId w:val="1011"/>
        </w:numPr>
        <w:pStyle w:val="Compact"/>
      </w:pPr>
      <w:r>
        <w:rPr>
          <w:bCs/>
          <w:b/>
        </w:rPr>
        <w:t xml:space="preserve">Lincolnwood</w:t>
      </w:r>
      <w:r>
        <w:t xml:space="preserve"> </w:t>
      </w:r>
      <w:r>
        <w:t xml:space="preserve">kept together doesn't fit:</w:t>
      </w:r>
    </w:p>
    <w:p>
      <w:pPr>
        <w:numPr>
          <w:ilvl w:val="1"/>
          <w:numId w:val="1012"/>
        </w:numPr>
        <w:pStyle w:val="Compact"/>
      </w:pPr>
      <w:r>
        <w:t xml:space="preserve">Sent whole to Orrington, it would reach 117%, with 23 classes for 19 classrooms.</w:t>
      </w:r>
    </w:p>
    <w:p>
      <w:pPr>
        <w:numPr>
          <w:ilvl w:val="1"/>
          <w:numId w:val="1012"/>
        </w:numPr>
        <w:pStyle w:val="Compact"/>
      </w:pPr>
      <w:r>
        <w:t xml:space="preserve">Sent whole to Willard instead, it lands right at the limit (101%, 25 classes for 24 classrooms).</w:t>
      </w:r>
    </w:p>
    <w:p>
      <w:pPr>
        <w:numPr>
          <w:ilvl w:val="1"/>
          <w:numId w:val="1012"/>
        </w:numPr>
        <w:pStyle w:val="Compact"/>
      </w:pPr>
      <w:r>
        <w:t xml:space="preserve">Split between Orrington and Willard, it fits (81% and 79%), but every grade is divided between two schools.</w:t>
      </w:r>
    </w:p>
    <w:p>
      <w:pPr>
        <w:numPr>
          <w:ilvl w:val="1"/>
          <w:numId w:val="1012"/>
        </w:numPr>
        <w:pStyle w:val="Compact"/>
      </w:pPr>
      <w:r>
        <w:t xml:space="preserve">STEP moves either way.</w:t>
      </w:r>
    </w:p>
    <w:p>
      <w:pPr>
        <w:numPr>
          <w:ilvl w:val="0"/>
          <w:numId w:val="1011"/>
        </w:numPr>
        <w:pStyle w:val="Compact"/>
      </w:pPr>
      <w:r>
        <w:rPr>
          <w:bCs/>
          <w:b/>
        </w:rPr>
        <w:t xml:space="preserve">Oakton</w:t>
      </w:r>
      <w:r>
        <w:t xml:space="preserve">, the fullest building today, splits three ways into Dawes, Washington and Dewey at 84–88%. Washington would use all 24 classrooms, and Oakton's TWI strand and ACC program both need new hosts.</w:t>
      </w:r>
    </w:p>
    <w:p>
      <w:pPr>
        <w:numPr>
          <w:ilvl w:val="0"/>
          <w:numId w:val="1011"/>
        </w:numPr>
        <w:pStyle w:val="Compact"/>
      </w:pPr>
      <w:r>
        <w:rPr>
          <w:bCs/>
          <w:b/>
        </w:rPr>
        <w:t xml:space="preserve">Added: Dawes</w:t>
      </w:r>
      <w:r>
        <w:t xml:space="preserve"> </w:t>
      </w:r>
      <w:r>
        <w:t xml:space="preserve">splits three ways into Oakton, Washington and Dewey. Every receiver stays under capacity (Dewey 80%, Washington 85%, Oakton 90%), with classrooms to spare: 20 of 24 at Dewey, 21 of 25 at Oakton, 22 of 24 at Washington.</w:t>
      </w:r>
    </w:p>
    <w:p>
      <w:pPr>
        <w:numPr>
          <w:ilvl w:val="1"/>
          <w:numId w:val="1013"/>
        </w:numPr>
        <w:pStyle w:val="Compact"/>
      </w:pPr>
      <w:r>
        <w:t xml:space="preserve">It displaces 280 students, the fewest of any south closure, and 14–42 would leave D65.</w:t>
      </w:r>
    </w:p>
    <w:p>
      <w:pPr>
        <w:numPr>
          <w:ilvl w:val="1"/>
          <w:numId w:val="1013"/>
        </w:numPr>
        <w:pStyle w:val="Compact"/>
      </w:pPr>
      <w:r>
        <w:t xml:space="preserve">Dawes's TWI strand has to move. Washington already has two strands, so it would go to Dewey or Oakton.</w:t>
      </w:r>
    </w:p>
    <w:p>
      <w:pPr>
        <w:numPr>
          <w:ilvl w:val="1"/>
          <w:numId w:val="1013"/>
        </w:numPr>
        <w:pStyle w:val="Compact"/>
      </w:pPr>
      <w:r>
        <w:t xml:space="preserve">Receivers are assumed from geography.</w:t>
      </w:r>
    </w:p>
    <w:bookmarkEnd w:id="40"/>
    <w:bookmarkStart w:id="41" w:name="two-closures"/>
    <w:p>
      <w:pPr>
        <w:pStyle w:val="Heading3"/>
      </w:pPr>
      <w:r>
        <w:t xml:space="preserve">Two closures</w:t>
      </w:r>
    </w:p>
    <w:p>
      <w:pPr>
        <w:numPr>
          <w:ilvl w:val="0"/>
          <w:numId w:val="1014"/>
        </w:numPr>
        <w:pStyle w:val="Compact"/>
      </w:pPr>
      <w:r>
        <w:rPr>
          <w:bCs/>
          <w:b/>
        </w:rPr>
        <w:t xml:space="preserve">Six pairs keep every receiver under capacity:</w:t>
      </w:r>
      <w:r>
        <w:t xml:space="preserve"> </w:t>
      </w:r>
      <w:r>
        <w:t xml:space="preserve">Washington, Oakton or</w:t>
      </w:r>
      <w:r>
        <w:t xml:space="preserve"> </w:t>
      </w:r>
      <w:r>
        <w:rPr>
          <w:bCs/>
          <w:b/>
        </w:rPr>
        <w:t xml:space="preserve">Dawes</w:t>
      </w:r>
      <w:r>
        <w:t xml:space="preserve">, paired with Willard or Orrington. Even these reach 90–94% somewhere, and each moves at least one TWI strand.</w:t>
      </w:r>
    </w:p>
    <w:p>
      <w:pPr>
        <w:numPr>
          <w:ilvl w:val="0"/>
          <w:numId w:val="1014"/>
        </w:numPr>
        <w:pStyle w:val="Compact"/>
      </w:pPr>
      <w:r>
        <w:rPr>
          <w:bCs/>
          <w:b/>
        </w:rPr>
        <w:t xml:space="preserve">Dawes + Orrington</w:t>
      </w:r>
      <w:r>
        <w:t xml:space="preserve"> </w:t>
      </w:r>
      <w:r>
        <w:t xml:space="preserve">and</w:t>
      </w:r>
      <w:r>
        <w:t xml:space="preserve"> </w:t>
      </w:r>
      <w:r>
        <w:rPr>
          <w:bCs/>
          <w:b/>
        </w:rPr>
        <w:t xml:space="preserve">Dawes + Willard</w:t>
      </w:r>
      <w:r>
        <w:t xml:space="preserve"> </w:t>
      </w:r>
      <w:r>
        <w:t xml:space="preserve">displace the fewest students (26–82 would leave D65). Their fullest receiver is Oakton at 90% or Lincolnwood at 92%.</w:t>
      </w:r>
    </w:p>
    <w:p>
      <w:pPr>
        <w:numPr>
          <w:ilvl w:val="0"/>
          <w:numId w:val="1014"/>
        </w:numPr>
        <w:pStyle w:val="Compact"/>
      </w:pPr>
      <w:r>
        <w:rPr>
          <w:bCs/>
          <w:b/>
        </w:rPr>
        <w:t xml:space="preserve">Dawes + Lincolnwood</w:t>
      </w:r>
      <w:r>
        <w:t xml:space="preserve"> </w:t>
      </w:r>
      <w:r>
        <w:t xml:space="preserve">overfills Orrington (117%), like every pair that sends Lincolnwood there.</w:t>
      </w:r>
    </w:p>
    <w:p>
      <w:pPr>
        <w:numPr>
          <w:ilvl w:val="0"/>
          <w:numId w:val="1014"/>
        </w:numPr>
        <w:pStyle w:val="Compact"/>
      </w:pPr>
      <w:r>
        <w:rPr>
          <w:bCs/>
          <w:b/>
        </w:rPr>
        <w:t xml:space="preserve">Every pair with Dewey or Lincolnwood overfills Orrington or Willard,</w:t>
      </w:r>
      <w:r>
        <w:t xml:space="preserve"> </w:t>
      </w:r>
      <w:r>
        <w:t xml:space="preserve">up to 136%.</w:t>
      </w:r>
    </w:p>
    <w:p>
      <w:pPr>
        <w:numPr>
          <w:ilvl w:val="0"/>
          <w:numId w:val="1014"/>
        </w:numPr>
        <w:pStyle w:val="Compact"/>
      </w:pPr>
      <w:r>
        <w:rPr>
          <w:bCs/>
          <w:b/>
        </w:rPr>
        <w:t xml:space="preserve">Programs make relocation costly:</w:t>
      </w:r>
      <w:r>
        <w:t xml:space="preserve"> </w:t>
      </w:r>
      <w:r>
        <w:t xml:space="preserve">TWI at Dewey, Washington, Oakton and Dawes, ACC at Oakton and STEP at Lincolnwood.</w:t>
      </w:r>
    </w:p>
    <w:p>
      <w:pPr>
        <w:numPr>
          <w:ilvl w:val="0"/>
          <w:numId w:val="1014"/>
        </w:numPr>
        <w:pStyle w:val="Compact"/>
      </w:pPr>
      <w:r>
        <w:rPr>
          <w:bCs/>
          <w:b/>
        </w:rPr>
        <w:t xml:space="preserve">Each pair could lose 26–101 students from the district.</w:t>
      </w:r>
    </w:p>
    <w:p>
      <w:pPr>
        <w:pStyle w:val="FirstParagraph"/>
      </w:pPr>
      <w:r>
        <w:rPr>
          <w:bCs/>
          <w:b/>
        </w:rPr>
        <w:t xml:space="preserve">Method and sources:</w:t>
      </w:r>
    </w:p>
    <w:p>
      <w:pPr>
        <w:numPr>
          <w:ilvl w:val="0"/>
          <w:numId w:val="1015"/>
        </w:numPr>
        <w:pStyle w:val="Compact"/>
      </w:pPr>
      <w:r>
        <w:t xml:space="preserve">Projection: grades roll forward one year; incoming K = this year's K.</w:t>
      </w:r>
    </w:p>
    <w:p>
      <w:pPr>
        <w:numPr>
          <w:ilvl w:val="0"/>
          <w:numId w:val="1015"/>
        </w:numPr>
        <w:pStyle w:val="Compact"/>
      </w:pPr>
      <w:r>
        <w:t xml:space="preserve">Capacity: the smaller of the district's Cap Total and Cordogan Clark.</w:t>
      </w:r>
    </w:p>
    <w:p>
      <w:pPr>
        <w:numPr>
          <w:ilvl w:val="0"/>
          <w:numId w:val="1015"/>
        </w:numPr>
        <w:pStyle w:val="Compact"/>
      </w:pPr>
      <w:r>
        <w:t xml:space="preserve">Receiving schools: Washington's follow the district's SDRP 3D table. Willard's, Oakton's and Dawes's are assumed from geography.</w:t>
      </w:r>
    </w:p>
    <w:p>
      <w:pPr>
        <w:numPr>
          <w:ilvl w:val="0"/>
          <w:numId w:val="1015"/>
        </w:numPr>
        <w:pStyle w:val="Compact"/>
      </w:pPr>
      <w:r>
        <w:t xml:space="preserve">Full tables at 85%, 90% and 95% retention are in</w:t>
      </w:r>
      <w:r>
        <w:t xml:space="preserve"> </w:t>
      </w:r>
      <w:r>
        <w:rPr>
          <w:rStyle w:val="VerbatimChar"/>
        </w:rPr>
        <w:t xml:space="preserve">projections/closure_scenarios.md</w:t>
      </w:r>
      <w:r>
        <w:t xml:space="preserve">.</w:t>
      </w:r>
    </w:p>
    <w:p>
      <w:pPr>
        <w:pStyle w:val="FirstParagraph"/>
      </w:pPr>
      <w:r>
        <w:t xml:space="preserve">Estimates built with help from Claude (AI); please verify.</w:t>
      </w:r>
    </w:p>
    <w:p>
      <w:r>
        <w:pict>
          <v:rect style="width:0;height:1.5pt" o:hralign="center" o:hrstd="t" o:hr="t"/>
        </w:pict>
      </w:r>
    </w:p>
    <w:bookmarkEnd w:id="41"/>
    <w:bookmarkEnd w:id="42"/>
    <w:bookmarkStart w:id="46" w:name="Xdf073278982d9f6d9cf5a01c7255476b40f6235"/>
    <w:p>
      <w:pPr>
        <w:pStyle w:val="Heading2"/>
      </w:pPr>
      <w:r>
        <w:t xml:space="preserve">03 · State funding model (EBF): how K–5 staffing compares with Evidence-Based Funding</w:t>
      </w:r>
    </w:p>
    <w:p>
      <w:pPr>
        <w:pStyle w:val="FirstParagraph"/>
      </w:pPr>
      <w:r>
        <w:t xml:space="preserve">Illinois's Evidence-Based Funding formula sets out how many staff the State pays for. On paper, D65 has about 252 more K–5 staff than EBF funds, worth $15.9M a year. Special education explains all of that difference.</w:t>
      </w:r>
    </w:p>
    <w:p>
      <w:pPr>
        <w:pStyle w:val="BodyText"/>
      </w:pPr>
      <w:r>
        <w:drawing>
          <wp:inline>
            <wp:extent cx="6035040" cy="3621024"/>
            <wp:effectExtent b="0" l="0" r="0" t="0"/>
            <wp:docPr descr="Yearly cost above or below what EBF funds, by staff group" title="" id="44" name="Picture"/>
            <a:graphic>
              <a:graphicData uri="http://schemas.openxmlformats.org/drawingml/2006/picture">
                <pic:pic>
                  <pic:nvPicPr>
                    <pic:cNvPr descr="images/budget_handout/staffing_vs_ebf_by_group.png" id="45" name="Picture"/>
                    <pic:cNvPicPr>
                      <a:picLocks noChangeArrowheads="1" noChangeAspect="1"/>
                    </pic:cNvPicPr>
                  </pic:nvPicPr>
                  <pic:blipFill>
                    <a:blip r:embed="rId43"/>
                    <a:stretch>
                      <a:fillRect/>
                    </a:stretch>
                  </pic:blipFill>
                  <pic:spPr bwMode="auto">
                    <a:xfrm>
                      <a:off x="0" y="0"/>
                      <a:ext cx="6035040" cy="3621024"/>
                    </a:xfrm>
                    <a:prstGeom prst="rect">
                      <a:avLst/>
                    </a:prstGeom>
                    <a:noFill/>
                    <a:ln w="9525">
                      <a:noFill/>
                      <a:headEnd/>
                      <a:tailEnd/>
                    </a:ln>
                  </pic:spPr>
                </pic:pic>
              </a:graphicData>
            </a:graphic>
          </wp:inline>
        </w:drawing>
      </w:r>
    </w:p>
    <w:p>
      <w:pPr>
        <w:numPr>
          <w:ilvl w:val="0"/>
          <w:numId w:val="1016"/>
        </w:numPr>
        <w:pStyle w:val="Compact"/>
      </w:pPr>
      <w:r>
        <w:rPr>
          <w:bCs/>
          <w:b/>
        </w:rPr>
        <w:t xml:space="preserve">+$18.6M, special ed:</w:t>
      </w:r>
      <w:r>
        <w:t xml:space="preserve"> </w:t>
      </w:r>
      <w:r>
        <w:t xml:space="preserve">special-ed teachers, therapists and paras above EBF's ratio of 1 teacher and 1 aide per 141 students. Staffing follows IEPs and federal law, so this can't simply be cut to match.</w:t>
      </w:r>
    </w:p>
    <w:p>
      <w:pPr>
        <w:numPr>
          <w:ilvl w:val="0"/>
          <w:numId w:val="1016"/>
        </w:numPr>
        <w:pStyle w:val="Compact"/>
      </w:pPr>
      <w:r>
        <w:rPr>
          <w:bCs/>
          <w:b/>
        </w:rPr>
        <w:t xml:space="preserve">+$6.2M, other groups above EBF:</w:t>
      </w:r>
    </w:p>
    <w:p>
      <w:pPr>
        <w:numPr>
          <w:ilvl w:val="1"/>
          <w:numId w:val="1017"/>
        </w:numPr>
        <w:pStyle w:val="Compact"/>
      </w:pPr>
      <w:r>
        <w:t xml:space="preserve">Social workers and psychologists: $2.2M</w:t>
      </w:r>
    </w:p>
    <w:p>
      <w:pPr>
        <w:numPr>
          <w:ilvl w:val="1"/>
          <w:numId w:val="1017"/>
        </w:numPr>
        <w:pStyle w:val="Compact"/>
      </w:pPr>
      <w:r>
        <w:t xml:space="preserve">ESL teachers: $1.8M</w:t>
      </w:r>
    </w:p>
    <w:p>
      <w:pPr>
        <w:numPr>
          <w:ilvl w:val="1"/>
          <w:numId w:val="1017"/>
        </w:numPr>
        <w:pStyle w:val="Compact"/>
      </w:pPr>
      <w:r>
        <w:t xml:space="preserve">Specialists: $1.4M</w:t>
      </w:r>
    </w:p>
    <w:p>
      <w:pPr>
        <w:numPr>
          <w:ilvl w:val="1"/>
          <w:numId w:val="1017"/>
        </w:numPr>
        <w:pStyle w:val="Compact"/>
      </w:pPr>
      <w:r>
        <w:t xml:space="preserve">Nurses: $0.5M</w:t>
      </w:r>
    </w:p>
    <w:p>
      <w:pPr>
        <w:numPr>
          <w:ilvl w:val="0"/>
          <w:numId w:val="1016"/>
        </w:numPr>
        <w:pStyle w:val="Compact"/>
      </w:pPr>
      <w:r>
        <w:rPr>
          <w:bCs/>
          <w:b/>
        </w:rPr>
        <w:t xml:space="preserve">−$8.9M, where we're below EBF:</w:t>
      </w:r>
      <w:r>
        <w:t xml:space="preserve"> </w:t>
      </w:r>
      <w:r>
        <w:t xml:space="preserve">classroom teachers, instructional coaches (6 vs. 18), interventionists and counselors.</w:t>
      </w:r>
    </w:p>
    <w:tbl>
      <w:tblPr>
        <w:tblStyle w:val="Table"/>
        <w:tblLook w:firstRow="1" w:lastRow="0" w:firstColumn="0" w:lastColumn="0" w:noHBand="0" w:noVBand="0" w:val="0020"/>
        <w:jc w:val="start"/>
        <w:tblBorders>
          <w:top w:val="single" w:sz="4" w:color="BFBFBF"/>
          <w:left w:val="single" w:sz="4" w:color="BFBFBF"/>
          <w:bottom w:val="single" w:sz="4" w:color="BFBFBF"/>
          <w:right w:val="single" w:sz="4" w:color="BFBFBF"/>
          <w:insideH w:val="single" w:sz="4" w:color="BFBFBF"/>
          <w:insideV w:val="single" w:sz="4" w:color="BFBFBF"/>
        </w:tblBorders>
        <w:tblW w:w="5000" w:type="pct"/>
        <w:tblLayout w:type="autofit"/>
      </w:tblPr>
      <w:tblGrid>
        <w:gridCol/>
        <w:gridCol/>
        <w:gridCol/>
        <w:gridCol/>
        <w:gridCol/>
      </w:tblGrid>
      <w:tr>
        <w:trPr>
          <w:tblHeader w:val="true"/>
        </w:trPr>
        <w:tc>
          <w:tcPr>
            <w:shd w:val="clear" w:fill="E8ECF3"/>
          </w:tcPr>
          <w:p>
            <w:pPr>
              <w:pStyle w:val="Compact"/>
              <w:jc w:val="left"/>
            </w:pPr>
            <w:r>
              <w:rPr>
                <w:rFonts w:ascii="Arial" w:hAnsi="Arial"/>
                <w:b/>
                <w:sz w:val="18"/>
              </w:rPr>
              <w:t xml:space="preserve">K–5 staffing</w:t>
            </w:r>
          </w:p>
        </w:tc>
        <w:tc>
          <w:tcPr>
            <w:shd w:val="clear" w:fill="E8ECF3"/>
          </w:tcPr>
          <w:p>
            <w:pPr>
              <w:pStyle w:val="Compact"/>
              <w:jc w:val="right"/>
            </w:pPr>
            <w:r>
              <w:rPr>
                <w:rFonts w:ascii="Arial" w:hAnsi="Arial"/>
                <w:b/>
                <w:sz w:val="18"/>
              </w:rPr>
              <w:t xml:space="preserve">1 school</w:t>
            </w:r>
          </w:p>
        </w:tc>
        <w:tc>
          <w:tcPr>
            <w:shd w:val="clear" w:fill="E8ECF3"/>
          </w:tcPr>
          <w:p>
            <w:pPr>
              <w:pStyle w:val="Compact"/>
              <w:jc w:val="right"/>
            </w:pPr>
            <w:r>
              <w:rPr>
                <w:rFonts w:ascii="Arial" w:hAnsi="Arial"/>
                <w:b/>
                <w:sz w:val="18"/>
              </w:rPr>
              <w:t xml:space="preserve">9 schools</w:t>
            </w:r>
          </w:p>
        </w:tc>
        <w:tc>
          <w:tcPr>
            <w:shd w:val="clear" w:fill="E8ECF3"/>
          </w:tcPr>
          <w:p>
            <w:pPr>
              <w:pStyle w:val="Compact"/>
              <w:jc w:val="right"/>
            </w:pPr>
            <w:r>
              <w:rPr>
                <w:rFonts w:ascii="Arial" w:hAnsi="Arial"/>
                <w:b/>
                <w:sz w:val="18"/>
              </w:rPr>
              <w:t xml:space="preserve">10 schools</w:t>
            </w:r>
          </w:p>
        </w:tc>
        <w:tc>
          <w:tcPr>
            <w:shd w:val="clear" w:fill="E8ECF3"/>
          </w:tcPr>
          <w:p>
            <w:pPr>
              <w:pStyle w:val="Compact"/>
              <w:jc w:val="right"/>
            </w:pPr>
            <w:r>
              <w:rPr>
                <w:rFonts w:ascii="Arial" w:hAnsi="Arial"/>
                <w:b/>
                <w:sz w:val="18"/>
              </w:rPr>
              <w:t xml:space="preserve">11 (today)</w:t>
            </w:r>
          </w:p>
        </w:tc>
      </w:tr>
      <w:tr>
        <w:tc>
          <w:tcPr/>
          <w:p>
            <w:pPr>
              <w:pStyle w:val="Compact"/>
              <w:jc w:val="left"/>
            </w:pPr>
            <w:r>
              <w:rPr>
                <w:rFonts w:ascii="Arial" w:hAnsi="Arial"/>
                <w:sz w:val="18"/>
              </w:rPr>
              <w:t xml:space="preserve">Staff EBF funds</w:t>
            </w:r>
          </w:p>
        </w:tc>
        <w:tc>
          <w:tcPr/>
          <w:p>
            <w:pPr>
              <w:pStyle w:val="Compact"/>
              <w:jc w:val="right"/>
            </w:pPr>
            <w:r>
              <w:rPr>
                <w:rFonts w:ascii="Arial" w:hAnsi="Arial"/>
                <w:sz w:val="18"/>
              </w:rPr>
              <w:t xml:space="preserve">419</w:t>
            </w:r>
          </w:p>
        </w:tc>
        <w:tc>
          <w:tcPr/>
          <w:p>
            <w:pPr>
              <w:pStyle w:val="Compact"/>
              <w:jc w:val="right"/>
            </w:pPr>
            <w:r>
              <w:rPr>
                <w:rFonts w:ascii="Arial" w:hAnsi="Arial"/>
                <w:sz w:val="18"/>
              </w:rPr>
              <w:t xml:space="preserve">452</w:t>
            </w:r>
          </w:p>
        </w:tc>
        <w:tc>
          <w:tcPr/>
          <w:p>
            <w:pPr>
              <w:pStyle w:val="Compact"/>
              <w:jc w:val="right"/>
            </w:pPr>
            <w:r>
              <w:rPr>
                <w:rFonts w:ascii="Arial" w:hAnsi="Arial"/>
                <w:sz w:val="18"/>
              </w:rPr>
              <w:t xml:space="preserve">467</w:t>
            </w:r>
          </w:p>
        </w:tc>
        <w:tc>
          <w:tcPr/>
          <w:p>
            <w:pPr>
              <w:pStyle w:val="Compact"/>
              <w:jc w:val="right"/>
            </w:pPr>
            <w:r>
              <w:rPr>
                <w:rFonts w:ascii="Arial" w:hAnsi="Arial"/>
                <w:sz w:val="18"/>
              </w:rPr>
              <w:t xml:space="preserve">492</w:t>
            </w:r>
          </w:p>
        </w:tc>
      </w:tr>
      <w:tr>
        <w:tc>
          <w:tcPr/>
          <w:p>
            <w:pPr>
              <w:pStyle w:val="Compact"/>
              <w:jc w:val="left"/>
            </w:pPr>
            <w:r>
              <w:rPr>
                <w:rFonts w:ascii="Arial" w:hAnsi="Arial"/>
                <w:sz w:val="18"/>
              </w:rPr>
              <w:t xml:space="preserve">Staff we have (est.)</w:t>
            </w:r>
          </w:p>
        </w:tc>
        <w:tc>
          <w:tcPr/>
          <w:p>
            <w:pPr>
              <w:pStyle w:val="Compact"/>
              <w:jc w:val="right"/>
            </w:pPr>
            <w:r>
              <w:rPr>
                <w:rFonts w:ascii="Arial" w:hAnsi="Arial"/>
                <w:sz w:val="18"/>
              </w:rPr>
              <w:t xml:space="preserve">745</w:t>
            </w:r>
          </w:p>
        </w:tc>
        <w:tc>
          <w:tcPr/>
          <w:p>
            <w:pPr>
              <w:pStyle w:val="Compact"/>
              <w:jc w:val="right"/>
            </w:pPr>
            <w:r>
              <w:rPr>
                <w:rFonts w:ascii="Arial" w:hAnsi="Arial"/>
                <w:sz w:val="18"/>
              </w:rPr>
              <w:t xml:space="preserve">745</w:t>
            </w:r>
          </w:p>
        </w:tc>
        <w:tc>
          <w:tcPr/>
          <w:p>
            <w:pPr>
              <w:pStyle w:val="Compact"/>
              <w:jc w:val="right"/>
            </w:pPr>
            <w:r>
              <w:rPr>
                <w:rFonts w:ascii="Arial" w:hAnsi="Arial"/>
                <w:sz w:val="18"/>
              </w:rPr>
              <w:t xml:space="preserve">745</w:t>
            </w:r>
          </w:p>
        </w:tc>
        <w:tc>
          <w:tcPr/>
          <w:p>
            <w:pPr>
              <w:pStyle w:val="Compact"/>
              <w:jc w:val="right"/>
            </w:pPr>
            <w:r>
              <w:rPr>
                <w:rFonts w:ascii="Arial" w:hAnsi="Arial"/>
                <w:sz w:val="18"/>
              </w:rPr>
              <w:t xml:space="preserve">745</w:t>
            </w:r>
          </w:p>
        </w:tc>
      </w:tr>
      <w:tr>
        <w:tc>
          <w:tcPr/>
          <w:p>
            <w:pPr>
              <w:pStyle w:val="Compact"/>
              <w:jc w:val="left"/>
            </w:pPr>
            <w:r>
              <w:rPr>
                <w:rFonts w:ascii="Arial" w:hAnsi="Arial"/>
                <w:sz w:val="18"/>
              </w:rPr>
              <w:t xml:space="preserve">Yearly cost above EBF</w:t>
            </w:r>
          </w:p>
        </w:tc>
        <w:tc>
          <w:tcPr/>
          <w:p>
            <w:pPr>
              <w:pStyle w:val="Compact"/>
              <w:jc w:val="right"/>
            </w:pPr>
            <w:r>
              <w:rPr>
                <w:rFonts w:ascii="Arial" w:hAnsi="Arial"/>
                <w:sz w:val="18"/>
              </w:rPr>
              <w:t xml:space="preserve">$24.4M</w:t>
            </w:r>
          </w:p>
        </w:tc>
        <w:tc>
          <w:tcPr/>
          <w:p>
            <w:pPr>
              <w:pStyle w:val="Compact"/>
              <w:jc w:val="right"/>
            </w:pPr>
            <w:r>
              <w:rPr>
                <w:rFonts w:ascii="Arial" w:hAnsi="Arial"/>
                <w:sz w:val="18"/>
              </w:rPr>
              <w:t xml:space="preserve">$20.6M</w:t>
            </w:r>
          </w:p>
        </w:tc>
        <w:tc>
          <w:tcPr/>
          <w:p>
            <w:pPr>
              <w:pStyle w:val="Compact"/>
              <w:jc w:val="right"/>
            </w:pPr>
            <w:r>
              <w:rPr>
                <w:rFonts w:ascii="Arial" w:hAnsi="Arial"/>
                <w:sz w:val="18"/>
              </w:rPr>
              <w:t xml:space="preserve">$18.8M</w:t>
            </w:r>
          </w:p>
        </w:tc>
        <w:tc>
          <w:tcPr/>
          <w:p>
            <w:pPr>
              <w:pStyle w:val="Compact"/>
              <w:jc w:val="right"/>
            </w:pPr>
            <w:r>
              <w:rPr>
                <w:rFonts w:ascii="Arial" w:hAnsi="Arial"/>
                <w:sz w:val="18"/>
              </w:rPr>
              <w:t xml:space="preserve">$15.9M</w:t>
            </w:r>
          </w:p>
        </w:tc>
      </w:tr>
      <w:tr>
        <w:tc>
          <w:tcPr/>
          <w:p>
            <w:pPr>
              <w:pStyle w:val="Compact"/>
              <w:jc w:val="left"/>
            </w:pPr>
            <w:r>
              <w:rPr>
                <w:rFonts w:ascii="Arial" w:hAnsi="Arial"/>
                <w:sz w:val="18"/>
              </w:rPr>
              <w:t xml:space="preserve">Special ed and paras</w:t>
            </w:r>
          </w:p>
        </w:tc>
        <w:tc>
          <w:tcPr/>
          <w:p>
            <w:pPr>
              <w:pStyle w:val="Compact"/>
              <w:jc w:val="right"/>
            </w:pPr>
            <w:r>
              <w:rPr>
                <w:rFonts w:ascii="Arial" w:hAnsi="Arial"/>
                <w:sz w:val="18"/>
              </w:rPr>
              <w:t xml:space="preserve">$18.6M</w:t>
            </w:r>
          </w:p>
        </w:tc>
        <w:tc>
          <w:tcPr/>
          <w:p>
            <w:pPr>
              <w:pStyle w:val="Compact"/>
              <w:jc w:val="right"/>
            </w:pPr>
            <w:r>
              <w:rPr>
                <w:rFonts w:ascii="Arial" w:hAnsi="Arial"/>
                <w:sz w:val="18"/>
              </w:rPr>
              <w:t xml:space="preserve">$18.6M</w:t>
            </w:r>
          </w:p>
        </w:tc>
        <w:tc>
          <w:tcPr/>
          <w:p>
            <w:pPr>
              <w:pStyle w:val="Compact"/>
              <w:jc w:val="right"/>
            </w:pPr>
            <w:r>
              <w:rPr>
                <w:rFonts w:ascii="Arial" w:hAnsi="Arial"/>
                <w:sz w:val="18"/>
              </w:rPr>
              <w:t xml:space="preserve">$18.6M</w:t>
            </w:r>
          </w:p>
        </w:tc>
        <w:tc>
          <w:tcPr/>
          <w:p>
            <w:pPr>
              <w:pStyle w:val="Compact"/>
              <w:jc w:val="right"/>
            </w:pPr>
            <w:r>
              <w:rPr>
                <w:rFonts w:ascii="Arial" w:hAnsi="Arial"/>
                <w:sz w:val="18"/>
              </w:rPr>
              <w:t xml:space="preserve">$18.6M</w:t>
            </w:r>
          </w:p>
        </w:tc>
      </w:tr>
      <w:tr>
        <w:tc>
          <w:tcPr/>
          <w:p>
            <w:pPr>
              <w:pStyle w:val="Compact"/>
              <w:jc w:val="left"/>
            </w:pPr>
            <w:r>
              <w:rPr>
                <w:rFonts w:ascii="Arial" w:hAnsi="Arial"/>
                <w:sz w:val="18"/>
              </w:rPr>
              <w:t xml:space="preserve">Everything else</w:t>
            </w:r>
          </w:p>
        </w:tc>
        <w:tc>
          <w:tcPr/>
          <w:p>
            <w:pPr>
              <w:pStyle w:val="Compact"/>
              <w:jc w:val="right"/>
            </w:pPr>
            <w:r>
              <w:rPr>
                <w:rFonts w:ascii="Arial" w:hAnsi="Arial"/>
                <w:sz w:val="18"/>
              </w:rPr>
              <w:t xml:space="preserve">$5.8M</w:t>
            </w:r>
          </w:p>
        </w:tc>
        <w:tc>
          <w:tcPr/>
          <w:p>
            <w:pPr>
              <w:pStyle w:val="Compact"/>
              <w:jc w:val="right"/>
            </w:pPr>
            <w:r>
              <w:rPr>
                <w:rFonts w:ascii="Arial" w:hAnsi="Arial"/>
                <w:sz w:val="18"/>
              </w:rPr>
              <w:t xml:space="preserve">$1.9M</w:t>
            </w:r>
          </w:p>
        </w:tc>
        <w:tc>
          <w:tcPr/>
          <w:p>
            <w:pPr>
              <w:pStyle w:val="Compact"/>
              <w:jc w:val="right"/>
            </w:pPr>
            <w:r>
              <w:rPr>
                <w:rFonts w:ascii="Arial" w:hAnsi="Arial"/>
                <w:sz w:val="18"/>
              </w:rPr>
              <w:t xml:space="preserve">$0.2M</w:t>
            </w:r>
          </w:p>
        </w:tc>
        <w:tc>
          <w:tcPr/>
          <w:p>
            <w:pPr>
              <w:pStyle w:val="Compact"/>
              <w:jc w:val="right"/>
            </w:pPr>
            <w:r>
              <w:rPr>
                <w:rFonts w:ascii="Arial" w:hAnsi="Arial"/>
                <w:sz w:val="18"/>
              </w:rPr>
              <w:t xml:space="preserve">−$2.7M</w:t>
            </w:r>
          </w:p>
        </w:tc>
      </w:tr>
    </w:tbl>
    <w:p>
      <w:pPr>
        <w:pStyle w:val="BodyText"/>
      </w:pPr>
      <w:r>
        <w:rPr>
          <w:bCs/>
          <w:b/>
        </w:rPr>
        <w:t xml:space="preserve">Notes:</w:t>
      </w:r>
    </w:p>
    <w:p>
      <w:pPr>
        <w:numPr>
          <w:ilvl w:val="0"/>
          <w:numId w:val="1018"/>
        </w:numPr>
        <w:pStyle w:val="Compact"/>
      </w:pPr>
      <w:r>
        <w:t xml:space="preserve">EBF is a funding model, not a staffing rule.</w:t>
      </w:r>
    </w:p>
    <w:p>
      <w:pPr>
        <w:numPr>
          <w:ilvl w:val="0"/>
          <w:numId w:val="1018"/>
        </w:numPr>
        <w:pStyle w:val="Compact"/>
      </w:pPr>
      <w:r>
        <w:t xml:space="preserve">The classroom-teacher figure is an upper bound: split evenly over 11 buildings, every grade rounds up to 3 classes.</w:t>
      </w:r>
    </w:p>
    <w:p>
      <w:pPr>
        <w:numPr>
          <w:ilvl w:val="0"/>
          <w:numId w:val="1018"/>
        </w:numPr>
        <w:pStyle w:val="Compact"/>
      </w:pPr>
      <w:r>
        <w:t xml:space="preserve">Staff other than classroom teachers are estimated for K–5 at 64% of the district count. Some non-teaching pay is assumed.</w:t>
      </w:r>
    </w:p>
    <w:p>
      <w:pPr>
        <w:numPr>
          <w:ilvl w:val="0"/>
          <w:numId w:val="1018"/>
        </w:numPr>
        <w:pStyle w:val="Compact"/>
      </w:pPr>
      <w:r>
        <w:t xml:space="preserve">Ratios are from 105 ILCS 5/18-8.15.</w:t>
      </w:r>
    </w:p>
    <w:p>
      <w:r>
        <w:pict>
          <v:rect style="width:0;height:1.5pt" o:hralign="center" o:hrstd="t" o:hr="t"/>
        </w:pict>
      </w:r>
    </w:p>
    <w:bookmarkEnd w:id="46"/>
    <w:bookmarkStart w:id="50" w:name="X817e6a9a7dc28affec517bad57dab04dc4ed22a"/>
    <w:p>
      <w:pPr>
        <w:pStyle w:val="Heading2"/>
      </w:pPr>
      <w:r>
        <w:t xml:space="preserve">04 · The options: what each option saves, and what it costs students</w:t>
      </w:r>
    </w:p>
    <w:p>
      <w:pPr>
        <w:pStyle w:val="FirstParagraph"/>
      </w:pPr>
      <w:r>
        <w:t xml:space="preserve">Plotting savings against harm puts the choices side by side. Options under the dashed line save more for less disruption to students and families.</w:t>
      </w:r>
    </w:p>
    <w:p>
      <w:pPr>
        <w:pStyle w:val="BodyText"/>
      </w:pPr>
      <w:r>
        <w:drawing>
          <wp:inline>
            <wp:extent cx="6035040" cy="6303184"/>
            <wp:effectExtent b="0" l="0" r="0" t="0"/>
            <wp:docPr descr="Estimated yearly savings vs. cost to students and families, by option" title="" id="48" name="Picture"/>
            <a:graphic>
              <a:graphicData uri="http://schemas.openxmlformats.org/drawingml/2006/picture">
                <pic:pic>
                  <pic:nvPicPr>
                    <pic:cNvPr descr="images/budget_handout/options_savings_vs_harm.png" id="49" name="Picture"/>
                    <pic:cNvPicPr>
                      <a:picLocks noChangeArrowheads="1" noChangeAspect="1"/>
                    </pic:cNvPicPr>
                  </pic:nvPicPr>
                  <pic:blipFill>
                    <a:blip r:embed="rId47"/>
                    <a:stretch>
                      <a:fillRect/>
                    </a:stretch>
                  </pic:blipFill>
                  <pic:spPr bwMode="auto">
                    <a:xfrm>
                      <a:off x="0" y="0"/>
                      <a:ext cx="6035040" cy="6303184"/>
                    </a:xfrm>
                    <a:prstGeom prst="rect">
                      <a:avLst/>
                    </a:prstGeom>
                    <a:noFill/>
                    <a:ln w="9525">
                      <a:noFill/>
                      <a:headEnd/>
                      <a:tailEnd/>
                    </a:ln>
                  </pic:spPr>
                </pic:pic>
              </a:graphicData>
            </a:graphic>
          </wp:inline>
        </w:drawing>
      </w:r>
    </w:p>
    <w:p>
      <w:pPr>
        <w:numPr>
          <w:ilvl w:val="0"/>
          <w:numId w:val="1019"/>
        </w:numPr>
        <w:pStyle w:val="Compact"/>
      </w:pPr>
      <w:r>
        <w:rPr>
          <w:bCs/>
          <w:b/>
        </w:rPr>
        <w:t xml:space="preserve">Where the money is.</w:t>
      </w:r>
      <w:r>
        <w:t xml:space="preserve"> </w:t>
      </w:r>
      <w:r>
        <w:t xml:space="preserve">Consolidating small classes, bringing specialist and support staffing closer to EBF levels, and central-office cuts each save $1–2.5M a year. One closure saves $0.2–0.7M.</w:t>
      </w:r>
    </w:p>
    <w:p>
      <w:pPr>
        <w:numPr>
          <w:ilvl w:val="0"/>
          <w:numId w:val="1019"/>
        </w:numPr>
        <w:pStyle w:val="Compact"/>
      </w:pPr>
      <w:r>
        <w:rPr>
          <w:bCs/>
          <w:b/>
        </w:rPr>
        <w:t xml:space="preserve">Small but low-harm.</w:t>
      </w:r>
      <w:r>
        <w:t xml:space="preserve"> </w:t>
      </w:r>
      <w:r>
        <w:t xml:space="preserve">Leasing empty space, TWI tuition seats, shared City services and sponsorships each bring in $0.1–0.6M, with little effect on classrooms.</w:t>
      </w:r>
    </w:p>
    <w:p>
      <w:pPr>
        <w:numPr>
          <w:ilvl w:val="0"/>
          <w:numId w:val="1019"/>
        </w:numPr>
        <w:pStyle w:val="Compact"/>
      </w:pPr>
      <w:r>
        <w:rPr>
          <w:bCs/>
          <w:b/>
        </w:rPr>
        <w:t xml:space="preserve">About the scores.</w:t>
      </w:r>
      <w:r>
        <w:t xml:space="preserve"> </w:t>
      </w:r>
      <w:r>
        <w:t xml:space="preserve">The cost-to-students scores are a first draft for discussion. The savings ranges are rough; items marked "estimate" below are illustrative.</w:t>
      </w:r>
    </w:p>
    <w:tbl>
      <w:tblPr>
        <w:tblStyle w:val="Table"/>
        <w:tblLook w:firstRow="1" w:lastRow="0" w:firstColumn="0" w:lastColumn="0" w:noHBand="0" w:noVBand="0" w:val="0020"/>
        <w:jc w:val="start"/>
        <w:tblBorders>
          <w:top w:val="single" w:sz="4" w:color="BFBFBF"/>
          <w:left w:val="single" w:sz="4" w:color="BFBFBF"/>
          <w:bottom w:val="single" w:sz="4" w:color="BFBFBF"/>
          <w:right w:val="single" w:sz="4" w:color="BFBFBF"/>
          <w:insideH w:val="single" w:sz="4" w:color="BFBFBF"/>
          <w:insideV w:val="single" w:sz="4" w:color="BFBFBF"/>
        </w:tblBorders>
        <w:tblW w:w="5000" w:type="pct"/>
        <w:tblLayout w:type="autofit"/>
      </w:tblPr>
      <w:tblGrid>
        <w:gridCol/>
        <w:gridCol/>
        <w:gridCol/>
      </w:tblGrid>
      <w:tr>
        <w:trPr>
          <w:tblHeader w:val="true"/>
        </w:trPr>
        <w:tc>
          <w:tcPr>
            <w:shd w:val="clear" w:fill="E8ECF3"/>
          </w:tcPr>
          <w:p>
            <w:pPr>
              <w:pStyle w:val="Compact"/>
              <w:jc w:val="left"/>
            </w:pPr>
            <w:r>
              <w:rPr>
                <w:rFonts w:ascii="Arial" w:hAnsi="Arial"/>
                <w:b/>
                <w:sz w:val="18"/>
              </w:rPr>
              <w:t xml:space="preserve">Option</w:t>
            </w:r>
          </w:p>
        </w:tc>
        <w:tc>
          <w:tcPr>
            <w:shd w:val="clear" w:fill="E8ECF3"/>
          </w:tcPr>
          <w:p>
            <w:pPr>
              <w:pStyle w:val="Compact"/>
              <w:jc w:val="right"/>
            </w:pPr>
            <w:r>
              <w:rPr>
                <w:rFonts w:ascii="Arial" w:hAnsi="Arial"/>
                <w:b/>
                <w:sz w:val="18"/>
              </w:rPr>
              <w:t xml:space="preserve">Yearly savings</w:t>
            </w:r>
          </w:p>
        </w:tc>
        <w:tc>
          <w:tcPr>
            <w:shd w:val="clear" w:fill="E8ECF3"/>
          </w:tcPr>
          <w:p>
            <w:pPr>
              <w:pStyle w:val="Compact"/>
              <w:jc w:val="left"/>
            </w:pPr>
            <w:r>
              <w:rPr>
                <w:rFonts w:ascii="Arial" w:hAnsi="Arial"/>
                <w:b/>
                <w:sz w:val="18"/>
              </w:rPr>
              <w:t xml:space="preserve">How we estimated it</w:t>
            </w:r>
          </w:p>
        </w:tc>
      </w:tr>
      <w:tr>
        <w:tc>
          <w:tcPr/>
          <w:p>
            <w:pPr>
              <w:pStyle w:val="Compact"/>
              <w:jc w:val="left"/>
            </w:pPr>
            <w:r>
              <w:rPr>
                <w:rFonts w:ascii="Arial" w:hAnsi="Arial"/>
                <w:sz w:val="18"/>
              </w:rPr>
              <w:t xml:space="preserve">Close 1 school</w:t>
            </w:r>
          </w:p>
        </w:tc>
        <w:tc>
          <w:tcPr/>
          <w:p>
            <w:pPr>
              <w:pStyle w:val="Compact"/>
              <w:jc w:val="right"/>
            </w:pPr>
            <w:r>
              <w:rPr>
                <w:rFonts w:ascii="Arial" w:hAnsi="Arial"/>
                <w:sz w:val="18"/>
              </w:rPr>
              <w:t xml:space="preserve">$0.2–0.7M</w:t>
            </w:r>
          </w:p>
        </w:tc>
        <w:tc>
          <w:tcPr/>
          <w:p>
            <w:pPr>
              <w:pStyle w:val="Compact"/>
              <w:jc w:val="left"/>
            </w:pPr>
            <w:r>
              <w:rPr>
                <w:rFonts w:ascii="Arial" w:hAnsi="Arial"/>
                <w:sz w:val="18"/>
              </w:rPr>
              <w:t xml:space="preserve">Building-use analysis: building savings minus added busing (net per closure)</w:t>
            </w:r>
          </w:p>
        </w:tc>
      </w:tr>
      <w:tr>
        <w:tc>
          <w:tcPr/>
          <w:p>
            <w:pPr>
              <w:pStyle w:val="Compact"/>
              <w:jc w:val="left"/>
            </w:pPr>
            <w:r>
              <w:rPr>
                <w:rFonts w:ascii="Arial" w:hAnsi="Arial"/>
                <w:sz w:val="18"/>
              </w:rPr>
              <w:t xml:space="preserve">Close 2 schools</w:t>
            </w:r>
          </w:p>
        </w:tc>
        <w:tc>
          <w:tcPr/>
          <w:p>
            <w:pPr>
              <w:pStyle w:val="Compact"/>
              <w:jc w:val="right"/>
            </w:pPr>
            <w:r>
              <w:rPr>
                <w:rFonts w:ascii="Arial" w:hAnsi="Arial"/>
                <w:sz w:val="18"/>
              </w:rPr>
              <w:t xml:space="preserve">$0.4–1.4M</w:t>
            </w:r>
          </w:p>
        </w:tc>
        <w:tc>
          <w:tcPr/>
          <w:p>
            <w:pPr>
              <w:pStyle w:val="Compact"/>
              <w:jc w:val="left"/>
            </w:pPr>
            <w:r>
              <w:rPr>
                <w:rFonts w:ascii="Arial" w:hAnsi="Arial"/>
                <w:sz w:val="18"/>
              </w:rPr>
              <w:t xml:space="preserve">Two times the per-closure net; relocation and renovation costs not included</w:t>
            </w:r>
          </w:p>
        </w:tc>
      </w:tr>
      <w:tr>
        <w:tc>
          <w:tcPr/>
          <w:p>
            <w:pPr>
              <w:pStyle w:val="Compact"/>
              <w:jc w:val="left"/>
            </w:pPr>
            <w:r>
              <w:rPr>
                <w:rFonts w:ascii="Arial" w:hAnsi="Arial"/>
                <w:sz w:val="18"/>
              </w:rPr>
              <w:t xml:space="preserve">Lease or share empty space</w:t>
            </w:r>
          </w:p>
        </w:tc>
        <w:tc>
          <w:tcPr/>
          <w:p>
            <w:pPr>
              <w:pStyle w:val="Compact"/>
              <w:jc w:val="right"/>
            </w:pPr>
            <w:r>
              <w:rPr>
                <w:rFonts w:ascii="Arial" w:hAnsi="Arial"/>
                <w:sz w:val="18"/>
              </w:rPr>
              <w:t xml:space="preserve">$0.1–0.4M</w:t>
            </w:r>
          </w:p>
        </w:tc>
        <w:tc>
          <w:tcPr/>
          <w:p>
            <w:pPr>
              <w:pStyle w:val="Compact"/>
              <w:jc w:val="left"/>
            </w:pPr>
            <w:r>
              <w:rPr>
                <w:rFonts w:ascii="Arial" w:hAnsi="Arial"/>
                <w:sz w:val="18"/>
              </w:rPr>
              <w:t xml:space="preserve">Estimate: preschool or community partner leases in underused wings</w:t>
            </w:r>
          </w:p>
        </w:tc>
      </w:tr>
      <w:tr>
        <w:tc>
          <w:tcPr/>
          <w:p>
            <w:pPr>
              <w:pStyle w:val="Compact"/>
              <w:jc w:val="left"/>
            </w:pPr>
            <w:r>
              <w:rPr>
                <w:rFonts w:ascii="Arial" w:hAnsi="Arial"/>
                <w:sz w:val="18"/>
              </w:rPr>
              <w:t xml:space="preserve">Consolidate small classes</w:t>
            </w:r>
          </w:p>
        </w:tc>
        <w:tc>
          <w:tcPr/>
          <w:p>
            <w:pPr>
              <w:pStyle w:val="Compact"/>
              <w:jc w:val="right"/>
            </w:pPr>
            <w:r>
              <w:rPr>
                <w:rFonts w:ascii="Arial" w:hAnsi="Arial"/>
                <w:sz w:val="18"/>
              </w:rPr>
              <w:t xml:space="preserve">$1.1–2.2M</w:t>
            </w:r>
          </w:p>
        </w:tc>
        <w:tc>
          <w:tcPr/>
          <w:p>
            <w:pPr>
              <w:pStyle w:val="Compact"/>
              <w:jc w:val="left"/>
            </w:pPr>
            <w:r>
              <w:rPr>
                <w:rFonts w:ascii="Arial" w:hAnsi="Arial"/>
                <w:sz w:val="18"/>
              </w:rPr>
              <w:t xml:space="preserve">10–20 fewer sections × ~$111K average teacher pay (EBF analysis)</w:t>
            </w:r>
          </w:p>
        </w:tc>
      </w:tr>
      <w:tr>
        <w:tc>
          <w:tcPr/>
          <w:p>
            <w:pPr>
              <w:pStyle w:val="Compact"/>
              <w:jc w:val="left"/>
            </w:pPr>
            <w:r>
              <w:rPr>
                <w:rFonts w:ascii="Arial" w:hAnsi="Arial"/>
                <w:sz w:val="18"/>
              </w:rPr>
              <w:t xml:space="preserve">Consolidate TWI strands in grades 4–5</w:t>
            </w:r>
          </w:p>
        </w:tc>
        <w:tc>
          <w:tcPr/>
          <w:p>
            <w:pPr>
              <w:pStyle w:val="Compact"/>
              <w:jc w:val="right"/>
            </w:pPr>
            <w:r>
              <w:rPr>
                <w:rFonts w:ascii="Arial" w:hAnsi="Arial"/>
                <w:sz w:val="18"/>
              </w:rPr>
              <w:t xml:space="preserve">$0.2–0.4M</w:t>
            </w:r>
          </w:p>
        </w:tc>
        <w:tc>
          <w:tcPr/>
          <w:p>
            <w:pPr>
              <w:pStyle w:val="Compact"/>
              <w:jc w:val="left"/>
            </w:pPr>
            <w:r>
              <w:rPr>
                <w:rFonts w:ascii="Arial" w:hAnsi="Arial"/>
                <w:sz w:val="18"/>
              </w:rPr>
              <w:t xml:space="preserve">2–4 fewer upper-grade TWI sections × ~$111K</w:t>
            </w:r>
          </w:p>
        </w:tc>
      </w:tr>
      <w:tr>
        <w:tc>
          <w:tcPr/>
          <w:p>
            <w:pPr>
              <w:pStyle w:val="Compact"/>
              <w:jc w:val="left"/>
            </w:pPr>
            <w:r>
              <w:rPr>
                <w:rFonts w:ascii="Arial" w:hAnsi="Arial"/>
                <w:sz w:val="18"/>
              </w:rPr>
              <w:t xml:space="preserve">Specialist teachers to EBF level</w:t>
            </w:r>
          </w:p>
        </w:tc>
        <w:tc>
          <w:tcPr/>
          <w:p>
            <w:pPr>
              <w:pStyle w:val="Compact"/>
              <w:jc w:val="right"/>
            </w:pPr>
            <w:r>
              <w:rPr>
                <w:rFonts w:ascii="Arial" w:hAnsi="Arial"/>
                <w:sz w:val="18"/>
              </w:rPr>
              <w:t xml:space="preserve">$1.4–2.5M</w:t>
            </w:r>
          </w:p>
        </w:tc>
        <w:tc>
          <w:tcPr/>
          <w:p>
            <w:pPr>
              <w:pStyle w:val="Compact"/>
              <w:jc w:val="left"/>
            </w:pPr>
            <w:r>
              <w:rPr>
                <w:rFonts w:ascii="Arial" w:hAnsi="Arial"/>
                <w:sz w:val="18"/>
              </w:rPr>
              <w:t xml:space="preserve">12–22 FTE above EBF × ~$115K (EBF Table 3)</w:t>
            </w:r>
          </w:p>
        </w:tc>
      </w:tr>
      <w:tr>
        <w:tc>
          <w:tcPr/>
          <w:p>
            <w:pPr>
              <w:pStyle w:val="Compact"/>
              <w:jc w:val="left"/>
            </w:pPr>
            <w:r>
              <w:rPr>
                <w:rFonts w:ascii="Arial" w:hAnsi="Arial"/>
                <w:sz w:val="18"/>
              </w:rPr>
              <w:t xml:space="preserve">Pupil support to EBF level</w:t>
            </w:r>
          </w:p>
        </w:tc>
        <w:tc>
          <w:tcPr/>
          <w:p>
            <w:pPr>
              <w:pStyle w:val="Compact"/>
              <w:jc w:val="right"/>
            </w:pPr>
            <w:r>
              <w:rPr>
                <w:rFonts w:ascii="Arial" w:hAnsi="Arial"/>
                <w:sz w:val="18"/>
              </w:rPr>
              <w:t xml:space="preserve">$1.1–2.2M</w:t>
            </w:r>
          </w:p>
        </w:tc>
        <w:tc>
          <w:tcPr/>
          <w:p>
            <w:pPr>
              <w:pStyle w:val="Compact"/>
              <w:jc w:val="left"/>
            </w:pPr>
            <w:r>
              <w:rPr>
                <w:rFonts w:ascii="Arial" w:hAnsi="Arial"/>
                <w:sz w:val="18"/>
              </w:rPr>
              <w:t xml:space="preserve">Half to all of the 21 social work/psych/FACE FTE above EBF × ~$103K</w:t>
            </w:r>
          </w:p>
        </w:tc>
      </w:tr>
      <w:tr>
        <w:tc>
          <w:tcPr/>
          <w:p>
            <w:pPr>
              <w:pStyle w:val="Compact"/>
              <w:jc w:val="left"/>
            </w:pPr>
            <w:r>
              <w:rPr>
                <w:rFonts w:ascii="Arial" w:hAnsi="Arial"/>
                <w:sz w:val="18"/>
              </w:rPr>
              <w:t xml:space="preserve">Voluntary retirement incentive</w:t>
            </w:r>
          </w:p>
        </w:tc>
        <w:tc>
          <w:tcPr/>
          <w:p>
            <w:pPr>
              <w:pStyle w:val="Compact"/>
              <w:jc w:val="right"/>
            </w:pPr>
            <w:r>
              <w:rPr>
                <w:rFonts w:ascii="Arial" w:hAnsi="Arial"/>
                <w:sz w:val="18"/>
              </w:rPr>
              <w:t xml:space="preserve">$0.5–1.5M</w:t>
            </w:r>
          </w:p>
        </w:tc>
        <w:tc>
          <w:tcPr/>
          <w:p>
            <w:pPr>
              <w:pStyle w:val="Compact"/>
              <w:jc w:val="left"/>
            </w:pPr>
            <w:r>
              <w:rPr>
                <w:rFonts w:ascii="Arial" w:hAnsi="Arial"/>
                <w:sz w:val="18"/>
              </w:rPr>
              <w:t xml:space="preserve">Estimate: 25–40 retirements replaced at lower step pay net of incentive</w:t>
            </w:r>
          </w:p>
        </w:tc>
      </w:tr>
      <w:tr>
        <w:tc>
          <w:tcPr/>
          <w:p>
            <w:pPr>
              <w:pStyle w:val="Compact"/>
              <w:jc w:val="left"/>
            </w:pPr>
            <w:r>
              <w:rPr>
                <w:rFonts w:ascii="Arial" w:hAnsi="Arial"/>
                <w:sz w:val="18"/>
              </w:rPr>
              <w:t xml:space="preserve">Central office admin cuts</w:t>
            </w:r>
          </w:p>
        </w:tc>
        <w:tc>
          <w:tcPr/>
          <w:p>
            <w:pPr>
              <w:pStyle w:val="Compact"/>
              <w:jc w:val="right"/>
            </w:pPr>
            <w:r>
              <w:rPr>
                <w:rFonts w:ascii="Arial" w:hAnsi="Arial"/>
                <w:sz w:val="18"/>
              </w:rPr>
              <w:t xml:space="preserve">$0.9–1.8M</w:t>
            </w:r>
          </w:p>
        </w:tc>
        <w:tc>
          <w:tcPr/>
          <w:p>
            <w:pPr>
              <w:pStyle w:val="Compact"/>
              <w:jc w:val="left"/>
            </w:pPr>
            <w:r>
              <w:rPr>
                <w:rFonts w:ascii="Arial" w:hAnsi="Arial"/>
                <w:sz w:val="18"/>
              </w:rPr>
              <w:t xml:space="preserve">Estimate: 5–10 central office positions × ~$180K total comp</w:t>
            </w:r>
          </w:p>
        </w:tc>
      </w:tr>
      <w:tr>
        <w:tc>
          <w:tcPr/>
          <w:p>
            <w:pPr>
              <w:pStyle w:val="Compact"/>
              <w:jc w:val="left"/>
            </w:pPr>
            <w:r>
              <w:rPr>
                <w:rFonts w:ascii="Arial" w:hAnsi="Arial"/>
                <w:sz w:val="18"/>
              </w:rPr>
              <w:t xml:space="preserve">Share admin services with City</w:t>
            </w:r>
          </w:p>
        </w:tc>
        <w:tc>
          <w:tcPr/>
          <w:p>
            <w:pPr>
              <w:pStyle w:val="Compact"/>
              <w:jc w:val="right"/>
            </w:pPr>
            <w:r>
              <w:rPr>
                <w:rFonts w:ascii="Arial" w:hAnsi="Arial"/>
                <w:sz w:val="18"/>
              </w:rPr>
              <w:t xml:space="preserve">$0.1–0.5M</w:t>
            </w:r>
          </w:p>
        </w:tc>
        <w:tc>
          <w:tcPr/>
          <w:p>
            <w:pPr>
              <w:pStyle w:val="Compact"/>
              <w:jc w:val="left"/>
            </w:pPr>
            <w:r>
              <w:rPr>
                <w:rFonts w:ascii="Arial" w:hAnsi="Arial"/>
                <w:sz w:val="18"/>
              </w:rPr>
              <w:t xml:space="preserve">Estimate: shared office space and personnel (creative ideas menu)</w:t>
            </w:r>
          </w:p>
        </w:tc>
      </w:tr>
      <w:tr>
        <w:tc>
          <w:tcPr/>
          <w:p>
            <w:pPr>
              <w:pStyle w:val="Compact"/>
              <w:jc w:val="left"/>
            </w:pPr>
            <w:r>
              <w:rPr>
                <w:rFonts w:ascii="Arial" w:hAnsi="Arial"/>
                <w:sz w:val="18"/>
              </w:rPr>
              <w:t xml:space="preserve">TWI tuition seats</w:t>
            </w:r>
          </w:p>
        </w:tc>
        <w:tc>
          <w:tcPr/>
          <w:p>
            <w:pPr>
              <w:pStyle w:val="Compact"/>
              <w:jc w:val="right"/>
            </w:pPr>
            <w:r>
              <w:rPr>
                <w:rFonts w:ascii="Arial" w:hAnsi="Arial"/>
                <w:sz w:val="18"/>
              </w:rPr>
              <w:t xml:space="preserve">$0.3–0.6M</w:t>
            </w:r>
          </w:p>
        </w:tc>
        <w:tc>
          <w:tcPr/>
          <w:p>
            <w:pPr>
              <w:pStyle w:val="Compact"/>
              <w:jc w:val="left"/>
            </w:pPr>
            <w:r>
              <w:rPr>
                <w:rFonts w:ascii="Arial" w:hAnsi="Arial"/>
                <w:sz w:val="18"/>
              </w:rPr>
              <w:t xml:space="preserve">Estimate: 20–40 tuition students × ~$15K</w:t>
            </w:r>
          </w:p>
        </w:tc>
      </w:tr>
      <w:tr>
        <w:tc>
          <w:tcPr/>
          <w:p>
            <w:pPr>
              <w:pStyle w:val="Compact"/>
              <w:jc w:val="left"/>
            </w:pPr>
            <w:r>
              <w:rPr>
                <w:rFonts w:ascii="Arial" w:hAnsi="Arial"/>
                <w:sz w:val="18"/>
              </w:rPr>
              <w:t xml:space="preserve">City shared services</w:t>
            </w:r>
          </w:p>
        </w:tc>
        <w:tc>
          <w:tcPr/>
          <w:p>
            <w:pPr>
              <w:pStyle w:val="Compact"/>
              <w:jc w:val="right"/>
            </w:pPr>
            <w:r>
              <w:rPr>
                <w:rFonts w:ascii="Arial" w:hAnsi="Arial"/>
                <w:sz w:val="18"/>
              </w:rPr>
              <w:t xml:space="preserve">$0.2–0.6M</w:t>
            </w:r>
          </w:p>
        </w:tc>
        <w:tc>
          <w:tcPr/>
          <w:p>
            <w:pPr>
              <w:pStyle w:val="Compact"/>
              <w:jc w:val="left"/>
            </w:pPr>
            <w:r>
              <w:rPr>
                <w:rFonts w:ascii="Arial" w:hAnsi="Arial"/>
                <w:sz w:val="18"/>
              </w:rPr>
              <w:t xml:space="preserve">Estimate: crossing guards, maintenance, purchasing (creative ideas menu)</w:t>
            </w:r>
          </w:p>
        </w:tc>
      </w:tr>
      <w:tr>
        <w:tc>
          <w:tcPr/>
          <w:p>
            <w:pPr>
              <w:pStyle w:val="Compact"/>
              <w:jc w:val="left"/>
            </w:pPr>
            <w:r>
              <w:rPr>
                <w:rFonts w:ascii="Arial" w:hAnsi="Arial"/>
                <w:sz w:val="18"/>
              </w:rPr>
              <w:t xml:space="preserve">Cell tower, solar and sponsorship revenue</w:t>
            </w:r>
          </w:p>
        </w:tc>
        <w:tc>
          <w:tcPr/>
          <w:p>
            <w:pPr>
              <w:pStyle w:val="Compact"/>
              <w:jc w:val="right"/>
            </w:pPr>
            <w:r>
              <w:rPr>
                <w:rFonts w:ascii="Arial" w:hAnsi="Arial"/>
                <w:sz w:val="18"/>
              </w:rPr>
              <w:t xml:space="preserve">$0.1–0.4M</w:t>
            </w:r>
          </w:p>
        </w:tc>
        <w:tc>
          <w:tcPr/>
          <w:p>
            <w:pPr>
              <w:pStyle w:val="Compact"/>
              <w:jc w:val="left"/>
            </w:pPr>
            <w:r>
              <w:rPr>
                <w:rFonts w:ascii="Arial" w:hAnsi="Arial"/>
                <w:sz w:val="18"/>
              </w:rPr>
              <w:t xml:space="preserve">Estimate: cell tower, solar panel and facility sponsorship revenue (creative ideas menu)</w:t>
            </w:r>
          </w:p>
        </w:tc>
      </w:tr>
    </w:tbl>
    <w:p>
      <w:pPr>
        <w:pStyle w:val="BlockText"/>
      </w:pPr>
      <w:r>
        <w:rPr>
          <w:bCs/>
          <w:b/>
        </w:rPr>
        <w:t xml:space="preserve">Added note:</w:t>
      </w:r>
      <w:r>
        <w:t xml:space="preserve"> </w:t>
      </w:r>
      <w:r>
        <w:t xml:space="preserve">closure savings above are operating only. If a closed building is sold or leased long-term, it also avoids $1.2–3.1M a year in facility-plan capital needs in 2027–31 (see section 01).</w:t>
      </w:r>
    </w:p>
    <w:p>
      <w:r>
        <w:pict>
          <v:rect style="width:0;height:1.5pt" o:hralign="center" o:hrstd="t" o:hr="t"/>
        </w:pict>
      </w:r>
    </w:p>
    <w:bookmarkEnd w:id="50"/>
    <w:bookmarkStart w:id="52" w:name="X93676da2b3d7bf624955c46ee5034193815bfb3"/>
    <w:p>
      <w:pPr>
        <w:pStyle w:val="Heading2"/>
      </w:pPr>
      <w:r>
        <w:t xml:space="preserve">05 · Communicating the plan: what families should hear</w:t>
      </w:r>
    </w:p>
    <w:p>
      <w:pPr>
        <w:pStyle w:val="FirstParagraph"/>
      </w:pPr>
      <w:r>
        <w:t xml:space="preserve">Families will judge any plan by what happens in their child's classroom. The plan should say plainly what it protects, what changes, and how the district will show it's working.</w:t>
      </w:r>
    </w:p>
    <w:p>
      <w:pPr>
        <w:pStyle w:val="BodyText"/>
      </w:pPr>
      <w:r>
        <w:rPr>
          <w:bCs/>
          <w:b/>
        </w:rPr>
        <w:t xml:space="preserve">Our priorities: what comes first</w:t>
      </w:r>
    </w:p>
    <w:p>
      <w:pPr>
        <w:numPr>
          <w:ilvl w:val="0"/>
          <w:numId w:val="1020"/>
        </w:numPr>
        <w:pStyle w:val="Compact"/>
      </w:pPr>
      <w:r>
        <w:t xml:space="preserve">Class sizes in a set range for every grade at every school</w:t>
      </w:r>
    </w:p>
    <w:p>
      <w:pPr>
        <w:numPr>
          <w:ilvl w:val="0"/>
          <w:numId w:val="1020"/>
        </w:numPr>
        <w:pStyle w:val="Compact"/>
      </w:pPr>
      <w:r>
        <w:t xml:space="preserve">Children stay with their classmates and teachers wherever possible</w:t>
      </w:r>
    </w:p>
    <w:p>
      <w:pPr>
        <w:numPr>
          <w:ilvl w:val="0"/>
          <w:numId w:val="1020"/>
        </w:numPr>
        <w:pStyle w:val="Compact"/>
      </w:pPr>
      <w:r>
        <w:t xml:space="preserve">Programs families chose stay whole: TWI, ACC, STEP</w:t>
      </w:r>
    </w:p>
    <w:p>
      <w:pPr>
        <w:numPr>
          <w:ilvl w:val="0"/>
          <w:numId w:val="1020"/>
        </w:numPr>
        <w:pStyle w:val="Compact"/>
      </w:pPr>
      <w:r>
        <w:t xml:space="preserve">Every IEP is fully served, through any change</w:t>
      </w:r>
    </w:p>
    <w:p>
      <w:pPr>
        <w:numPr>
          <w:ilvl w:val="0"/>
          <w:numId w:val="1020"/>
        </w:numPr>
        <w:pStyle w:val="Compact"/>
      </w:pPr>
      <w:r>
        <w:t xml:space="preserve">Savings reinvested where EBF says we're short: coaching and intervention</w:t>
      </w:r>
    </w:p>
    <w:p>
      <w:pPr>
        <w:pStyle w:val="FirstParagraph"/>
      </w:pPr>
      <w:r>
        <w:rPr>
          <w:bCs/>
          <w:b/>
        </w:rPr>
        <w:t xml:space="preserve">What families get: what changes for them</w:t>
      </w:r>
    </w:p>
    <w:p>
      <w:pPr>
        <w:numPr>
          <w:ilvl w:val="0"/>
          <w:numId w:val="1021"/>
        </w:numPr>
        <w:pStyle w:val="Compact"/>
      </w:pPr>
      <w:r>
        <w:t xml:space="preserve">Predictable class sizes, published for each school and grade</w:t>
      </w:r>
    </w:p>
    <w:p>
      <w:pPr>
        <w:numPr>
          <w:ilvl w:val="0"/>
          <w:numId w:val="1021"/>
        </w:numPr>
        <w:pStyle w:val="Compact"/>
      </w:pPr>
      <w:r>
        <w:t xml:space="preserve">No building moves next school year</w:t>
      </w:r>
    </w:p>
    <w:p>
      <w:pPr>
        <w:numPr>
          <w:ilvl w:val="0"/>
          <w:numId w:val="1021"/>
        </w:numPr>
        <w:pStyle w:val="Compact"/>
      </w:pPr>
      <w:r>
        <w:t xml:space="preserve">More reading and math intervention as savings are reinvested</w:t>
      </w:r>
    </w:p>
    <w:p>
      <w:pPr>
        <w:numPr>
          <w:ilvl w:val="0"/>
          <w:numId w:val="1021"/>
        </w:numPr>
        <w:pStyle w:val="Compact"/>
      </w:pPr>
      <w:r>
        <w:t xml:space="preserve">A clear budget: what was cut, what it saved, where it went</w:t>
      </w:r>
    </w:p>
    <w:p>
      <w:pPr>
        <w:pStyle w:val="FirstParagraph"/>
      </w:pPr>
      <w:r>
        <w:rPr>
          <w:bCs/>
          <w:b/>
        </w:rPr>
        <w:t xml:space="preserve">Educational outcomes: how we'll know it's working</w:t>
      </w:r>
    </w:p>
    <w:p>
      <w:pPr>
        <w:numPr>
          <w:ilvl w:val="0"/>
          <w:numId w:val="1022"/>
        </w:numPr>
        <w:pStyle w:val="Compact"/>
      </w:pPr>
      <w:r>
        <w:t xml:space="preserve">Class size by school and grade, every fall</w:t>
      </w:r>
    </w:p>
    <w:p>
      <w:pPr>
        <w:numPr>
          <w:ilvl w:val="0"/>
          <w:numId w:val="1022"/>
        </w:numPr>
        <w:pStyle w:val="Compact"/>
      </w:pPr>
      <w:r>
        <w:t xml:space="preserve">Reading and math growth by school and student group</w:t>
      </w:r>
    </w:p>
    <w:p>
      <w:pPr>
        <w:numPr>
          <w:ilvl w:val="0"/>
          <w:numId w:val="1022"/>
        </w:numPr>
        <w:pStyle w:val="Compact"/>
      </w:pPr>
      <w:r>
        <w:t xml:space="preserve">Attendance and chronic absence</w:t>
      </w:r>
    </w:p>
    <w:p>
      <w:pPr>
        <w:numPr>
          <w:ilvl w:val="0"/>
          <w:numId w:val="1022"/>
        </w:numPr>
        <w:pStyle w:val="Compact"/>
      </w:pPr>
      <w:r>
        <w:t xml:space="preserve">Special-ed service minutes delivered vs. IEPs</w:t>
      </w:r>
    </w:p>
    <w:p>
      <w:pPr>
        <w:numPr>
          <w:ilvl w:val="0"/>
          <w:numId w:val="1022"/>
        </w:numPr>
        <w:pStyle w:val="Compact"/>
      </w:pPr>
      <w:r>
        <w:t xml:space="preserve">Families staying in D65: transfers in, out and to private schools</w:t>
      </w:r>
    </w:p>
    <w:bookmarkStart w:id="51" w:name="scorecard-to-publish-each-term"/>
    <w:p>
      <w:pPr>
        <w:pStyle w:val="Heading3"/>
      </w:pPr>
      <w:r>
        <w:t xml:space="preserve">Scorecard to publish each term</w:t>
      </w:r>
    </w:p>
    <w:tbl>
      <w:tblPr>
        <w:tblStyle w:val="Table"/>
        <w:tblLook w:firstRow="1" w:lastRow="0" w:firstColumn="0" w:lastColumn="0" w:noHBand="0" w:noVBand="0" w:val="0020"/>
        <w:jc w:val="start"/>
        <w:tblBorders>
          <w:top w:val="single" w:sz="4" w:color="BFBFBF"/>
          <w:left w:val="single" w:sz="4" w:color="BFBFBF"/>
          <w:bottom w:val="single" w:sz="4" w:color="BFBFBF"/>
          <w:right w:val="single" w:sz="4" w:color="BFBFBF"/>
          <w:insideH w:val="single" w:sz="4" w:color="BFBFBF"/>
          <w:insideV w:val="single" w:sz="4" w:color="BFBFBF"/>
        </w:tblBorders>
        <w:tblW w:w="5000" w:type="pct"/>
        <w:tblLayout w:type="autofit"/>
      </w:tblPr>
      <w:tblGrid>
        <w:gridCol/>
        <w:gridCol/>
        <w:gridCol/>
      </w:tblGrid>
      <w:tr>
        <w:trPr>
          <w:tblHeader w:val="true"/>
        </w:trPr>
        <w:tc>
          <w:tcPr>
            <w:shd w:val="clear" w:fill="E8ECF3"/>
          </w:tcPr>
          <w:p>
            <w:pPr>
              <w:pStyle w:val="Compact"/>
              <w:jc w:val="left"/>
            </w:pPr>
            <w:r>
              <w:rPr>
                <w:rFonts w:ascii="Arial" w:hAnsi="Arial"/>
                <w:b/>
                <w:sz w:val="18"/>
              </w:rPr>
              <w:t xml:space="preserve">Measure</w:t>
            </w:r>
          </w:p>
        </w:tc>
        <w:tc>
          <w:tcPr>
            <w:shd w:val="clear" w:fill="E8ECF3"/>
          </w:tcPr>
          <w:p>
            <w:pPr>
              <w:pStyle w:val="Compact"/>
              <w:jc w:val="left"/>
            </w:pPr>
            <w:r>
              <w:rPr>
                <w:rFonts w:ascii="Arial" w:hAnsi="Arial"/>
                <w:b/>
                <w:sz w:val="18"/>
              </w:rPr>
              <w:t xml:space="preserve">What would trigger a second look</w:t>
            </w:r>
          </w:p>
        </w:tc>
        <w:tc>
          <w:tcPr>
            <w:shd w:val="clear" w:fill="E8ECF3"/>
          </w:tcPr>
          <w:p>
            <w:pPr>
              <w:pStyle w:val="Compact"/>
              <w:jc w:val="left"/>
            </w:pPr>
            <w:r>
              <w:rPr>
                <w:rFonts w:ascii="Arial" w:hAnsi="Arial"/>
                <w:b/>
                <w:sz w:val="18"/>
              </w:rPr>
              <w:t xml:space="preserve">Reported</w:t>
            </w:r>
          </w:p>
        </w:tc>
      </w:tr>
      <w:tr>
        <w:tc>
          <w:tcPr/>
          <w:p>
            <w:pPr>
              <w:pStyle w:val="Compact"/>
              <w:jc w:val="left"/>
            </w:pPr>
            <w:r>
              <w:rPr>
                <w:rFonts w:ascii="Arial" w:hAnsi="Arial"/>
                <w:sz w:val="18"/>
              </w:rPr>
              <w:t xml:space="preserve">Class size</w:t>
            </w:r>
          </w:p>
        </w:tc>
        <w:tc>
          <w:tcPr/>
          <w:p>
            <w:pPr>
              <w:pStyle w:val="Compact"/>
              <w:jc w:val="left"/>
            </w:pPr>
            <w:r>
              <w:rPr>
                <w:rFonts w:ascii="Arial" w:hAnsi="Arial"/>
                <w:sz w:val="18"/>
              </w:rPr>
              <w:t xml:space="preserve">Any grade above the agreed range, or below it two years running</w:t>
            </w:r>
          </w:p>
        </w:tc>
        <w:tc>
          <w:tcPr/>
          <w:p>
            <w:pPr>
              <w:pStyle w:val="Compact"/>
              <w:jc w:val="left"/>
            </w:pPr>
            <w:r>
              <w:rPr>
                <w:rFonts w:ascii="Arial" w:hAnsi="Arial"/>
                <w:sz w:val="18"/>
              </w:rPr>
              <w:t xml:space="preserve">Each fall</w:t>
            </w:r>
          </w:p>
        </w:tc>
      </w:tr>
      <w:tr>
        <w:tc>
          <w:tcPr/>
          <w:p>
            <w:pPr>
              <w:pStyle w:val="Compact"/>
              <w:jc w:val="left"/>
            </w:pPr>
            <w:r>
              <w:rPr>
                <w:rFonts w:ascii="Arial" w:hAnsi="Arial"/>
                <w:sz w:val="18"/>
              </w:rPr>
              <w:t xml:space="preserve">Reading and math growth</w:t>
            </w:r>
          </w:p>
        </w:tc>
        <w:tc>
          <w:tcPr/>
          <w:p>
            <w:pPr>
              <w:pStyle w:val="Compact"/>
              <w:jc w:val="left"/>
            </w:pPr>
            <w:r>
              <w:rPr>
                <w:rFonts w:ascii="Arial" w:hAnsi="Arial"/>
                <w:sz w:val="18"/>
              </w:rPr>
              <w:t xml:space="preserve">A school or student group falling behind its prior year</w:t>
            </w:r>
          </w:p>
        </w:tc>
        <w:tc>
          <w:tcPr/>
          <w:p>
            <w:pPr>
              <w:pStyle w:val="Compact"/>
              <w:jc w:val="left"/>
            </w:pPr>
            <w:r>
              <w:rPr>
                <w:rFonts w:ascii="Arial" w:hAnsi="Arial"/>
                <w:sz w:val="18"/>
              </w:rPr>
              <w:t xml:space="preserve">Winter, spring</w:t>
            </w:r>
          </w:p>
        </w:tc>
      </w:tr>
      <w:tr>
        <w:tc>
          <w:tcPr/>
          <w:p>
            <w:pPr>
              <w:pStyle w:val="Compact"/>
              <w:jc w:val="left"/>
            </w:pPr>
            <w:r>
              <w:rPr>
                <w:rFonts w:ascii="Arial" w:hAnsi="Arial"/>
                <w:sz w:val="18"/>
              </w:rPr>
              <w:t xml:space="preserve">Attendance</w:t>
            </w:r>
          </w:p>
        </w:tc>
        <w:tc>
          <w:tcPr/>
          <w:p>
            <w:pPr>
              <w:pStyle w:val="Compact"/>
              <w:jc w:val="left"/>
            </w:pPr>
            <w:r>
              <w:rPr>
                <w:rFonts w:ascii="Arial" w:hAnsi="Arial"/>
                <w:sz w:val="18"/>
              </w:rPr>
              <w:t xml:space="preserve">Chronic absence rising at a school affected by a change</w:t>
            </w:r>
          </w:p>
        </w:tc>
        <w:tc>
          <w:tcPr/>
          <w:p>
            <w:pPr>
              <w:pStyle w:val="Compact"/>
              <w:jc w:val="left"/>
            </w:pPr>
            <w:r>
              <w:rPr>
                <w:rFonts w:ascii="Arial" w:hAnsi="Arial"/>
                <w:sz w:val="18"/>
              </w:rPr>
              <w:t xml:space="preserve">Each term</w:t>
            </w:r>
          </w:p>
        </w:tc>
      </w:tr>
      <w:tr>
        <w:tc>
          <w:tcPr/>
          <w:p>
            <w:pPr>
              <w:pStyle w:val="Compact"/>
              <w:jc w:val="left"/>
            </w:pPr>
            <w:r>
              <w:rPr>
                <w:rFonts w:ascii="Arial" w:hAnsi="Arial"/>
                <w:sz w:val="18"/>
              </w:rPr>
              <w:t xml:space="preserve">Special-ed services</w:t>
            </w:r>
          </w:p>
        </w:tc>
        <w:tc>
          <w:tcPr/>
          <w:p>
            <w:pPr>
              <w:pStyle w:val="Compact"/>
              <w:jc w:val="left"/>
            </w:pPr>
            <w:r>
              <w:rPr>
                <w:rFonts w:ascii="Arial" w:hAnsi="Arial"/>
                <w:sz w:val="18"/>
              </w:rPr>
              <w:t xml:space="preserve">Any gap between minutes in IEPs and minutes delivered</w:t>
            </w:r>
          </w:p>
        </w:tc>
        <w:tc>
          <w:tcPr/>
          <w:p>
            <w:pPr>
              <w:pStyle w:val="Compact"/>
              <w:jc w:val="left"/>
            </w:pPr>
            <w:r>
              <w:rPr>
                <w:rFonts w:ascii="Arial" w:hAnsi="Arial"/>
                <w:sz w:val="18"/>
              </w:rPr>
              <w:t xml:space="preserve">Each term</w:t>
            </w:r>
          </w:p>
        </w:tc>
      </w:tr>
      <w:tr>
        <w:tc>
          <w:tcPr/>
          <w:p>
            <w:pPr>
              <w:pStyle w:val="Compact"/>
              <w:jc w:val="left"/>
            </w:pPr>
            <w:r>
              <w:rPr>
                <w:rFonts w:ascii="Arial" w:hAnsi="Arial"/>
                <w:sz w:val="18"/>
              </w:rPr>
              <w:t xml:space="preserve">Enrollment and transfers</w:t>
            </w:r>
          </w:p>
        </w:tc>
        <w:tc>
          <w:tcPr/>
          <w:p>
            <w:pPr>
              <w:pStyle w:val="Compact"/>
              <w:jc w:val="left"/>
            </w:pPr>
            <w:r>
              <w:rPr>
                <w:rFonts w:ascii="Arial" w:hAnsi="Arial"/>
                <w:sz w:val="18"/>
              </w:rPr>
              <w:t xml:space="preserve">Kindergarten or transfers off projection by more than 5%</w:t>
            </w:r>
          </w:p>
        </w:tc>
        <w:tc>
          <w:tcPr/>
          <w:p>
            <w:pPr>
              <w:pStyle w:val="Compact"/>
              <w:jc w:val="left"/>
            </w:pPr>
            <w:r>
              <w:rPr>
                <w:rFonts w:ascii="Arial" w:hAnsi="Arial"/>
                <w:sz w:val="18"/>
              </w:rPr>
              <w:t xml:space="preserve">Fall, spring</w:t>
            </w:r>
          </w:p>
        </w:tc>
      </w:tr>
      <w:tr>
        <w:tc>
          <w:tcPr/>
          <w:p>
            <w:pPr>
              <w:pStyle w:val="Compact"/>
              <w:jc w:val="left"/>
            </w:pPr>
            <w:r>
              <w:rPr>
                <w:rFonts w:ascii="Arial" w:hAnsi="Arial"/>
                <w:sz w:val="18"/>
              </w:rPr>
              <w:t xml:space="preserve">Savings</w:t>
            </w:r>
          </w:p>
        </w:tc>
        <w:tc>
          <w:tcPr/>
          <w:p>
            <w:pPr>
              <w:pStyle w:val="Compact"/>
              <w:jc w:val="left"/>
            </w:pPr>
            <w:r>
              <w:rPr>
                <w:rFonts w:ascii="Arial" w:hAnsi="Arial"/>
                <w:sz w:val="18"/>
              </w:rPr>
              <w:t xml:space="preserve">Actual savings below the plan, or one-time costs above it</w:t>
            </w:r>
          </w:p>
        </w:tc>
        <w:tc>
          <w:tcPr/>
          <w:p>
            <w:pPr>
              <w:pStyle w:val="Compact"/>
              <w:jc w:val="left"/>
            </w:pPr>
            <w:r>
              <w:rPr>
                <w:rFonts w:ascii="Arial" w:hAnsi="Arial"/>
                <w:sz w:val="18"/>
              </w:rPr>
              <w:t xml:space="preserve">Each budget cycle</w:t>
            </w:r>
          </w:p>
        </w:tc>
      </w:tr>
    </w:tbl>
    <w:p>
      <w:pPr>
        <w:pStyle w:val="BodyText"/>
      </w:pPr>
      <w:r>
        <w:rPr>
          <w:bCs/>
          <w:b/>
        </w:rPr>
        <w:t xml:space="preserve">Key messages</w:t>
      </w:r>
    </w:p>
    <w:p>
      <w:pPr>
        <w:pStyle w:val="BlockText"/>
      </w:pPr>
      <w:r>
        <w:t xml:space="preserve">"We're protecting what happens in the classroom first: class sizes, programs, and every child's services."</w:t>
      </w:r>
    </w:p>
    <w:p>
      <w:pPr>
        <w:pStyle w:val="BlockText"/>
      </w:pPr>
      <w:r>
        <w:t xml:space="preserve">"We'll make the biggest savings where they do the least harm, and we'll show our work."</w:t>
      </w:r>
    </w:p>
    <w:p>
      <w:pPr>
        <w:pStyle w:val="FirstParagraph"/>
      </w:pPr>
      <w:r>
        <w:t xml:space="preserve">The class-size range and trigger thresholds are for the district and community to set; the ones here are starting points for discussion.</w:t>
      </w:r>
    </w:p>
    <w:p>
      <w:r>
        <w:pict>
          <v:rect style="width:0;height:1.5pt" o:hralign="center" o:hrstd="t" o:hr="t"/>
        </w:pict>
      </w:r>
    </w:p>
    <w:bookmarkEnd w:id="51"/>
    <w:bookmarkEnd w:id="52"/>
    <w:bookmarkStart w:id="58" w:name="recap-the-whole-brief-on-one-page"/>
    <w:p>
      <w:pPr>
        <w:pStyle w:val="Heading2"/>
      </w:pPr>
      <w:r>
        <w:t xml:space="preserve">Recap: the whole brief on one page</w:t>
      </w:r>
    </w:p>
    <w:tbl>
      <w:tblPr>
        <w:tblStyle w:val="Table"/>
        <w:tblLook w:firstRow="1" w:lastRow="0" w:firstColumn="0" w:lastColumn="0" w:noHBand="0" w:noVBand="0" w:val="0020"/>
        <w:jc w:val="start"/>
        <w:tblBorders>
          <w:top w:val="single" w:sz="4" w:color="BFBFBF"/>
          <w:left w:val="single" w:sz="4" w:color="BFBFBF"/>
          <w:bottom w:val="single" w:sz="4" w:color="BFBFBF"/>
          <w:right w:val="single" w:sz="4" w:color="BFBFBF"/>
          <w:insideH w:val="single" w:sz="4" w:color="BFBFBF"/>
          <w:insideV w:val="single" w:sz="4" w:color="BFBFBF"/>
        </w:tblBorders>
        <w:tblW w:w="5000" w:type="pct"/>
        <w:tblLayout w:type="autofit"/>
      </w:tblPr>
      <w:tblGrid>
        <w:gridCol/>
        <w:gridCol/>
      </w:tblGrid>
      <w:tr>
        <w:trPr>
          <w:tblHeader w:val="true"/>
        </w:trPr>
        <w:tc>
          <w:tcPr>
            <w:shd w:val="clear" w:fill="E8ECF3"/>
          </w:tcPr>
          <w:p>
            <w:pPr>
              <w:pStyle w:val="Compact"/>
            </w:pPr>
          </w:p>
        </w:tc>
        <w:tc>
          <w:tcPr>
            <w:shd w:val="clear" w:fill="E8ECF3"/>
          </w:tcPr>
          <w:p>
            <w:pPr>
              <w:pStyle w:val="Compact"/>
            </w:pPr>
          </w:p>
        </w:tc>
      </w:tr>
      <w:tr>
        <w:tc>
          <w:tcPr/>
          <w:p>
            <w:pPr>
              <w:pStyle w:val="Compact"/>
              <w:jc w:val="left"/>
            </w:pPr>
            <w:r>
              <w:rPr>
                <w:bCs/>
                <w:rFonts w:ascii="Arial" w:hAnsi="Arial"/>
                <w:b/>
                <w:sz w:val="18"/>
              </w:rPr>
              <w:t xml:space="preserve">1–3.5%</w:t>
            </w:r>
          </w:p>
        </w:tc>
        <w:tc>
          <w:tcPr/>
          <w:p>
            <w:pPr>
              <w:pStyle w:val="Compact"/>
              <w:jc w:val="left"/>
            </w:pPr>
            <w:r>
              <w:rPr>
                <w:rFonts w:ascii="Arial" w:hAnsi="Arial"/>
                <w:sz w:val="18"/>
              </w:rPr>
              <w:t xml:space="preserve">of the</w:t>
            </w:r>
            <w:r>
              <w:rPr>
                <w:rFonts w:ascii="Arial" w:hAnsi="Arial"/>
                <w:sz w:val="18"/>
              </w:rPr>
              <w:t xml:space="preserve"> </w:t>
            </w:r>
            <m:oMath>
              <m:r>
                <m:t>20</m:t>
              </m:r>
              <m:r>
                <m:t>M</m:t>
              </m:r>
              <m:r>
                <m:t>t</m:t>
              </m:r>
              <m:r>
                <m:t>a</m:t>
              </m:r>
              <m:r>
                <m:t>r</m:t>
              </m:r>
              <m:r>
                <m:t>g</m:t>
              </m:r>
              <m:r>
                <m:t>e</m:t>
              </m:r>
              <m:r>
                <m:t>t</m:t>
              </m:r>
              <m:r>
                <m:t>f</m:t>
              </m:r>
              <m:r>
                <m:t>r</m:t>
              </m:r>
              <m:r>
                <m:t>o</m:t>
              </m:r>
              <m:r>
                <m:t>m</m:t>
              </m:r>
              <m:r>
                <m:t>o</m:t>
              </m:r>
              <m:r>
                <m:t>n</m:t>
              </m:r>
              <m:r>
                <m:t>e</m:t>
              </m:r>
              <m:r>
                <m:t>c</m:t>
              </m:r>
              <m:r>
                <m:t>l</m:t>
              </m:r>
              <m:r>
                <m:t>o</m:t>
              </m:r>
              <m:r>
                <m:t>s</m:t>
              </m:r>
              <m:r>
                <m:t>u</m:t>
              </m:r>
              <m:r>
                <m:t>r</m:t>
              </m:r>
              <m:r>
                <m:t>e</m:t>
              </m:r>
              <m:r>
                <m:rPr>
                  <m:sty m:val="p"/>
                </m:rPr>
                <m:t>,</m:t>
              </m:r>
              <m:r>
                <m:t>a</m:t>
              </m:r>
              <m:r>
                <m:t>f</m:t>
              </m:r>
              <m:r>
                <m:t>t</m:t>
              </m:r>
              <m:r>
                <m:t>e</m:t>
              </m:r>
              <m:r>
                <m:t>r</m:t>
              </m:r>
              <m:r>
                <m:t>b</m:t>
              </m:r>
              <m:r>
                <m:t>u</m:t>
              </m:r>
              <m:r>
                <m:t>s</m:t>
              </m:r>
              <m:r>
                <m:t>i</m:t>
              </m:r>
              <m:r>
                <m:t>n</m:t>
              </m:r>
              <m:r>
                <m:t>g</m:t>
              </m:r>
              <m:r>
                <m:rPr>
                  <m:sty m:val="p"/>
                </m:rPr>
                <m:t>(</m:t>
              </m:r>
            </m:oMath>
            <w:r>
              <w:rPr>
                <w:rFonts w:ascii="Arial" w:hAnsi="Arial"/>
                <w:sz w:val="18"/>
              </w:rPr>
              <w:t xml:space="preserve">0.2–0.7M a year)</w:t>
            </w:r>
          </w:p>
        </w:tc>
      </w:tr>
      <w:tr>
        <w:tc>
          <w:tcPr/>
          <w:p>
            <w:pPr>
              <w:pStyle w:val="Compact"/>
              <w:jc w:val="left"/>
            </w:pPr>
            <w:r>
              <w:rPr>
                <w:bCs/>
                <w:rFonts w:ascii="Arial" w:hAnsi="Arial"/>
                <w:b/>
                <w:sz w:val="18"/>
              </w:rPr>
              <w:t xml:space="preserve">$18.6M</w:t>
            </w:r>
          </w:p>
        </w:tc>
        <w:tc>
          <w:tcPr/>
          <w:p>
            <w:pPr>
              <w:pStyle w:val="Compact"/>
              <w:jc w:val="left"/>
            </w:pPr>
            <w:r>
              <w:rPr>
                <w:rFonts w:ascii="Arial" w:hAnsi="Arial"/>
                <w:sz w:val="18"/>
              </w:rPr>
              <w:t xml:space="preserve">special-ed staffing above EBF's ratio: the whole gap, set by IEPs</w:t>
            </w:r>
          </w:p>
        </w:tc>
      </w:tr>
      <w:tr>
        <w:tc>
          <w:tcPr/>
          <w:p>
            <w:pPr>
              <w:pStyle w:val="Compact"/>
              <w:jc w:val="left"/>
            </w:pPr>
            <w:r>
              <w:rPr>
                <w:bCs/>
                <w:rFonts w:ascii="Arial" w:hAnsi="Arial"/>
                <w:b/>
                <w:sz w:val="18"/>
              </w:rPr>
              <w:t xml:space="preserve">8 of 19</w:t>
            </w:r>
          </w:p>
        </w:tc>
        <w:tc>
          <w:tcPr/>
          <w:p>
            <w:pPr>
              <w:pStyle w:val="Compact"/>
              <w:jc w:val="left"/>
            </w:pPr>
            <w:r>
              <w:rPr>
                <w:rFonts w:ascii="Arial" w:hAnsi="Arial"/>
                <w:sz w:val="18"/>
              </w:rPr>
              <w:t xml:space="preserve">closure scenarios push a receiving school over capacity (was 7 of 15 before Dawes was added)</w:t>
            </w:r>
          </w:p>
        </w:tc>
      </w:tr>
      <w:tr>
        <w:tc>
          <w:tcPr/>
          <w:p>
            <w:pPr>
              <w:pStyle w:val="Compact"/>
              <w:jc w:val="left"/>
            </w:pPr>
            <w:r>
              <w:rPr>
                <w:bCs/>
                <w:rFonts w:ascii="Arial" w:hAnsi="Arial"/>
                <w:b/>
                <w:sz w:val="18"/>
              </w:rPr>
              <w:t xml:space="preserve">$1,940</w:t>
            </w:r>
          </w:p>
        </w:tc>
        <w:tc>
          <w:tcPr/>
          <w:p>
            <w:pPr>
              <w:pStyle w:val="Compact"/>
              <w:jc w:val="left"/>
            </w:pPr>
            <w:r>
              <w:rPr>
                <w:rFonts w:ascii="Arial" w:hAnsi="Arial"/>
                <w:sz w:val="18"/>
              </w:rPr>
              <w:t xml:space="preserve">per student to run Willard today, the costliest building; $1,500 at Walker</w:t>
            </w:r>
          </w:p>
        </w:tc>
      </w:tr>
      <w:tr>
        <w:tc>
          <w:tcPr/>
          <w:p>
            <w:pPr>
              <w:pStyle w:val="Compact"/>
              <w:jc w:val="left"/>
            </w:pPr>
            <w:r>
              <w:rPr>
                <w:bCs/>
                <w:rFonts w:ascii="Arial" w:hAnsi="Arial"/>
                <w:b/>
                <w:sz w:val="18"/>
              </w:rPr>
              <w:t xml:space="preserve">$3,700–7,700</w:t>
            </w:r>
          </w:p>
        </w:tc>
        <w:tc>
          <w:tcPr/>
          <w:p>
            <w:pPr>
              <w:pStyle w:val="Compact"/>
              <w:jc w:val="left"/>
            </w:pPr>
            <w:r>
              <w:rPr>
                <w:iCs/>
                <w:rFonts w:ascii="Arial" w:hAnsi="Arial"/>
                <w:i/>
                <w:sz w:val="18"/>
              </w:rPr>
              <w:t xml:space="preserve">Added:</w:t>
            </w:r>
            <w:r>
              <w:rPr>
                <w:rFonts w:ascii="Arial" w:hAnsi="Arial"/>
                <w:sz w:val="18"/>
              </w:rPr>
              <w:t xml:space="preserve"> </w:t>
            </w:r>
            <w:r>
              <w:rPr>
                <w:rFonts w:ascii="Arial" w:hAnsi="Arial"/>
                <w:sz w:val="18"/>
              </w:rPr>
              <w:t xml:space="preserve">facility-plan capital need per student a year (2027–31, scenario-average enrollment), 2.6–5 times operating cost; highest at Washington and Willard</w:t>
            </w:r>
          </w:p>
        </w:tc>
      </w:tr>
    </w:tbl>
    <w:bookmarkStart w:id="53" w:name="takeaways"/>
    <w:p>
      <w:pPr>
        <w:pStyle w:val="Heading3"/>
      </w:pPr>
      <w:r>
        <w:t xml:space="preserve">Takeaways</w:t>
      </w:r>
    </w:p>
    <w:p>
      <w:pPr>
        <w:numPr>
          <w:ilvl w:val="0"/>
          <w:numId w:val="1023"/>
        </w:numPr>
        <w:pStyle w:val="Compact"/>
      </w:pPr>
      <w:r>
        <w:rPr>
          <w:bCs/>
          <w:b/>
        </w:rPr>
        <w:t xml:space="preserve">Class size depends on school and grade:</w:t>
      </w:r>
      <w:r>
        <w:t xml:space="preserve"> </w:t>
      </w:r>
      <w:r>
        <w:t xml:space="preserve">grade averages run from 13 to 26 students, and they don't track how full a building is (r = −0.14).</w:t>
      </w:r>
      <w:r>
        <w:t xml:space="preserve"> </w:t>
      </w:r>
      <w:r>
        <w:rPr>
          <w:iCs/>
          <w:i/>
        </w:rPr>
        <w:t xml:space="preserve">(Class size section)</w:t>
      </w:r>
    </w:p>
    <w:p>
      <w:pPr>
        <w:numPr>
          <w:ilvl w:val="0"/>
          <w:numId w:val="1023"/>
        </w:numPr>
        <w:pStyle w:val="Compact"/>
      </w:pPr>
      <w:r>
        <w:rPr>
          <w:bCs/>
          <w:b/>
        </w:rPr>
        <w:t xml:space="preserve">Emptier buildings cost more per student:</w:t>
      </w:r>
      <w:r>
        <w:t xml:space="preserve"> </w:t>
      </w:r>
      <w:r>
        <w:t xml:space="preserve">$1,500–1,950 today. Receivers get cheaper per student, but the district saves only the closed building's costs.</w:t>
      </w:r>
      <w:r>
        <w:t xml:space="preserve"> </w:t>
      </w:r>
      <w:r>
        <w:rPr>
          <w:iCs/>
          <w:i/>
        </w:rPr>
        <w:t xml:space="preserve">Including 2027–31 facility-plan capital needs, Washington and Willard cost the most per student at scenario-average enrollment (about $9,200 a year); Lincoln and Orrington the least (about $5,100–5,200).</w:t>
      </w:r>
      <w:r>
        <w:t xml:space="preserve"> </w:t>
      </w:r>
      <w:r>
        <w:rPr>
          <w:iCs/>
          <w:i/>
        </w:rPr>
        <w:t xml:space="preserve">(Section 01)</w:t>
      </w:r>
    </w:p>
    <w:p>
      <w:pPr>
        <w:numPr>
          <w:ilvl w:val="0"/>
          <w:numId w:val="1023"/>
        </w:numPr>
        <w:pStyle w:val="Compact"/>
      </w:pPr>
      <w:r>
        <w:rPr>
          <w:bCs/>
          <w:b/>
        </w:rPr>
        <w:t xml:space="preserve">Where students go decides if a closure fits.</w:t>
      </w:r>
      <w:r>
        <w:t xml:space="preserve"> </w:t>
      </w:r>
      <w:r>
        <w:t xml:space="preserve">Every scenario that overfills sends students into Orrington or Willard; TWI, STEP and ACC moves are costly.</w:t>
      </w:r>
      <w:r>
        <w:t xml:space="preserve"> </w:t>
      </w:r>
      <w:r>
        <w:rPr>
          <w:iCs/>
          <w:i/>
        </w:rPr>
        <w:t xml:space="preserve">A Dawes closure fits, split among Oakton, Washington and Dewey.</w:t>
      </w:r>
      <w:r>
        <w:t xml:space="preserve"> </w:t>
      </w:r>
      <w:r>
        <w:rPr>
          <w:iCs/>
          <w:i/>
        </w:rPr>
        <w:t xml:space="preserve">(Section 02)</w:t>
      </w:r>
    </w:p>
    <w:p>
      <w:pPr>
        <w:numPr>
          <w:ilvl w:val="0"/>
          <w:numId w:val="1023"/>
        </w:numPr>
        <w:pStyle w:val="Compact"/>
      </w:pPr>
      <w:r>
        <w:rPr>
          <w:bCs/>
          <w:b/>
        </w:rPr>
        <w:t xml:space="preserve">Special ed explains the whole EBF gap.</w:t>
      </w:r>
      <w:r>
        <w:t xml:space="preserve"> </w:t>
      </w:r>
      <w:r>
        <w:t xml:space="preserve">Without it we're $2.7M below the model, and short on coaches and interventionists.</w:t>
      </w:r>
      <w:r>
        <w:t xml:space="preserve"> </w:t>
      </w:r>
      <w:r>
        <w:rPr>
          <w:iCs/>
          <w:i/>
        </w:rPr>
        <w:t xml:space="preserve">(Section 03)</w:t>
      </w:r>
    </w:p>
    <w:p>
      <w:pPr>
        <w:numPr>
          <w:ilvl w:val="0"/>
          <w:numId w:val="1023"/>
        </w:numPr>
        <w:pStyle w:val="Compact"/>
      </w:pPr>
      <w:r>
        <w:rPr>
          <w:bCs/>
          <w:b/>
        </w:rPr>
        <w:t xml:space="preserve">Staffing and class structure save more:</w:t>
      </w:r>
      <w:r>
        <w:t xml:space="preserve"> </w:t>
      </w:r>
      <w:r>
        <w:t xml:space="preserve">$1–2.5M each, against $0.2–0.7M per closure.</w:t>
      </w:r>
      <w:r>
        <w:t xml:space="preserve"> </w:t>
      </w:r>
      <w:r>
        <w:rPr>
          <w:iCs/>
          <w:i/>
        </w:rPr>
        <w:t xml:space="preserve">(Section 04)</w:t>
      </w:r>
    </w:p>
    <w:p>
      <w:pPr>
        <w:numPr>
          <w:ilvl w:val="0"/>
          <w:numId w:val="1023"/>
        </w:numPr>
        <w:pStyle w:val="Compact"/>
      </w:pPr>
      <w:r>
        <w:rPr>
          <w:bCs/>
          <w:b/>
        </w:rPr>
        <w:t xml:space="preserve">Tell families what's protected, what they get, and publish a scorecard each term.</w:t>
      </w:r>
      <w:r>
        <w:t xml:space="preserve"> </w:t>
      </w:r>
      <w:r>
        <w:rPr>
          <w:iCs/>
          <w:i/>
        </w:rPr>
        <w:t xml:space="preserve">(Section 05)</w:t>
      </w:r>
    </w:p>
    <w:bookmarkEnd w:id="53"/>
    <w:bookmarkStart w:id="57" w:name="X5f37413bdd25039dc5544659403d35d3bdc9fa3"/>
    <w:p>
      <w:pPr>
        <w:pStyle w:val="Heading3"/>
      </w:pPr>
      <w:r>
        <w:t xml:space="preserve">What we're asking: what to convey in the plan</w:t>
      </w:r>
    </w:p>
    <w:p>
      <w:pPr>
        <w:numPr>
          <w:ilvl w:val="0"/>
          <w:numId w:val="1024"/>
        </w:numPr>
        <w:pStyle w:val="Compact"/>
      </w:pPr>
      <w:r>
        <w:t xml:space="preserve">Itemized savings from the Kingsley and Bessie Rhodes closures, net of opening Foster.</w:t>
      </w:r>
    </w:p>
    <w:p>
      <w:pPr>
        <w:numPr>
          <w:ilvl w:val="0"/>
          <w:numId w:val="1024"/>
        </w:numPr>
        <w:pStyle w:val="Compact"/>
      </w:pPr>
      <w:r>
        <w:t xml:space="preserve">The full cost of closing and relocating a school, including TWI, STEP and ACC moves.</w:t>
      </w:r>
    </w:p>
    <w:p>
      <w:pPr>
        <w:numPr>
          <w:ilvl w:val="0"/>
          <w:numId w:val="1024"/>
        </w:numPr>
        <w:pStyle w:val="Compact"/>
      </w:pPr>
      <w:r>
        <w:t xml:space="preserve">Which positions would be cut, by category, and what each saves.</w:t>
      </w:r>
    </w:p>
    <w:p>
      <w:pPr>
        <w:numPr>
          <w:ilvl w:val="0"/>
          <w:numId w:val="1024"/>
        </w:numPr>
        <w:pStyle w:val="Compact"/>
      </w:pPr>
      <w:r>
        <w:t xml:space="preserve">Class counts and class sizes by grade, before and after, not just utilization.</w:t>
      </w:r>
    </w:p>
    <w:p>
      <w:pPr>
        <w:numPr>
          <w:ilvl w:val="0"/>
          <w:numId w:val="1024"/>
        </w:numPr>
        <w:pStyle w:val="Compact"/>
      </w:pPr>
      <w:r>
        <w:t xml:space="preserve">How the plan improves outcomes for students, not only this year's budget.</w:t>
      </w:r>
    </w:p>
    <w:p>
      <w:pPr>
        <w:pStyle w:val="FirstParagraph"/>
      </w:pPr>
      <w:r>
        <w:rPr>
          <w:iCs/>
          <w:i/>
        </w:rPr>
        <w:t xml:space="preserve">Decide by outcomes, learn from the data, and treat engaged families as an asset. We need to work with the buildings and the district we have.</w:t>
      </w:r>
    </w:p>
    <w:p>
      <w:pPr>
        <w:pStyle w:val="BodyText"/>
      </w:pPr>
      <w:r>
        <w:drawing>
          <wp:inline>
            <wp:extent cx="6035040" cy="4108962"/>
            <wp:effectExtent b="0" l="0" r="0" t="0"/>
            <wp:docPr descr="Staffing above EBF: special ed, paras, everything else, and net" title="" id="55" name="Picture"/>
            <a:graphic>
              <a:graphicData uri="http://schemas.openxmlformats.org/drawingml/2006/picture">
                <pic:pic>
                  <pic:nvPicPr>
                    <pic:cNvPr descr="images/budget_handout/staffing_above_ebf.png" id="56" name="Picture"/>
                    <pic:cNvPicPr>
                      <a:picLocks noChangeArrowheads="1" noChangeAspect="1"/>
                    </pic:cNvPicPr>
                  </pic:nvPicPr>
                  <pic:blipFill>
                    <a:blip r:embed="rId54"/>
                    <a:stretch>
                      <a:fillRect/>
                    </a:stretch>
                  </pic:blipFill>
                  <pic:spPr bwMode="auto">
                    <a:xfrm>
                      <a:off x="0" y="0"/>
                      <a:ext cx="6035040" cy="4108962"/>
                    </a:xfrm>
                    <a:prstGeom prst="rect">
                      <a:avLst/>
                    </a:prstGeom>
                    <a:noFill/>
                    <a:ln w="9525">
                      <a:noFill/>
                      <a:headEnd/>
                      <a:tailEnd/>
                    </a:ln>
                  </pic:spPr>
                </pic:pic>
              </a:graphicData>
            </a:graphic>
          </wp:inline>
        </w:drawing>
      </w:r>
    </w:p>
    <w:p>
      <w:r>
        <w:pict>
          <v:rect style="width:0;height:1.5pt" o:hralign="center" o:hrstd="t" o:hr="t"/>
        </w:pict>
      </w:r>
    </w:p>
    <w:bookmarkEnd w:id="57"/>
    <w:bookmarkEnd w:id="58"/>
    <w:bookmarkStart w:id="60" w:name="X11367648d5cbb625d72bc05478345e27f8e77bc"/>
    <w:p>
      <w:pPr>
        <w:pStyle w:val="Heading2"/>
      </w:pPr>
      <w:r>
        <w:t xml:space="preserve">Appendix (added): classroom counts vs. the Facility Master Plan</w:t>
      </w:r>
    </w:p>
    <w:p>
      <w:pPr>
        <w:pStyle w:val="FirstParagraph"/>
      </w:pPr>
      <w:r>
        <w:t xml:space="preserve">The handout's classroom counts come from the Cordogan Clark floor plans (2022; Foster uses Cordogan teaching stations). The District's March 2026</w:t>
      </w:r>
      <w:r>
        <w:t xml:space="preserve"> </w:t>
      </w:r>
      <w:hyperlink r:id="rId31">
        <w:r>
          <w:rPr>
            <w:rStyle w:val="Hyperlink"/>
          </w:rPr>
          <w:t xml:space="preserve">Facility Master Plan</w:t>
        </w:r>
      </w:hyperlink>
      <w:r>
        <w:t xml:space="preserve"> </w:t>
      </w:r>
      <w:r>
        <w:t xml:space="preserve">(Studio GC) has a room-by-room schedule for every building, surveyed October 2025 – January 2026. We counted rooms named</w:t>
      </w:r>
      <w:r>
        <w:t xml:space="preserve"> </w:t>
      </w:r>
      <w:r>
        <w:rPr>
          <w:bCs/>
          <w:b/>
        </w:rPr>
        <w:t xml:space="preserve">"CLASSROOM" in its Core Curriculum department</w:t>
      </w:r>
      <w:r>
        <w:t xml:space="preserve"> </w:t>
      </w:r>
      <w:r>
        <w:t xml:space="preserve">and compared.</w:t>
      </w:r>
    </w:p>
    <w:tbl>
      <w:tblPr>
        <w:tblStyle w:val="Table"/>
        <w:tblLook w:firstRow="1" w:lastRow="0" w:firstColumn="0" w:lastColumn="0" w:noHBand="0" w:noVBand="0" w:val="0020"/>
        <w:jc w:val="start"/>
        <w:tblBorders>
          <w:top w:val="single" w:sz="4" w:color="BFBFBF"/>
          <w:left w:val="single" w:sz="4" w:color="BFBFBF"/>
          <w:bottom w:val="single" w:sz="4" w:color="BFBFBF"/>
          <w:right w:val="single" w:sz="4" w:color="BFBFBF"/>
          <w:insideH w:val="single" w:sz="4" w:color="BFBFBF"/>
          <w:insideV w:val="single" w:sz="4" w:color="BFBFBF"/>
        </w:tblBorders>
        <w:tblW w:w="5000" w:type="pct"/>
        <w:tblLayout w:type="autofit"/>
      </w:tblPr>
      <w:tblGrid>
        <w:gridCol/>
        <w:gridCol/>
        <w:gridCol/>
        <w:gridCol/>
        <w:gridCol/>
        <w:gridCol/>
        <w:gridCol/>
        <w:gridCol/>
      </w:tblGrid>
      <w:tr>
        <w:trPr>
          <w:tblHeader w:val="true"/>
        </w:trPr>
        <w:tc>
          <w:tcPr>
            <w:shd w:val="clear" w:fill="E8ECF3"/>
          </w:tcPr>
          <w:p>
            <w:pPr>
              <w:pStyle w:val="Compact"/>
              <w:jc w:val="left"/>
            </w:pPr>
            <w:r>
              <w:rPr>
                <w:rFonts w:ascii="Arial" w:hAnsi="Arial"/>
                <w:b/>
                <w:sz w:val="18"/>
              </w:rPr>
              <w:t xml:space="preserve">School</w:t>
            </w:r>
          </w:p>
        </w:tc>
        <w:tc>
          <w:tcPr>
            <w:shd w:val="clear" w:fill="E8ECF3"/>
          </w:tcPr>
          <w:p>
            <w:pPr>
              <w:pStyle w:val="Compact"/>
              <w:jc w:val="right"/>
            </w:pPr>
            <w:r>
              <w:rPr>
                <w:rFonts w:ascii="Arial" w:hAnsi="Arial"/>
                <w:b/>
                <w:sz w:val="18"/>
              </w:rPr>
              <w:t xml:space="preserve">Handout (Cordogan)</w:t>
            </w:r>
          </w:p>
        </w:tc>
        <w:tc>
          <w:tcPr>
            <w:shd w:val="clear" w:fill="E8ECF3"/>
          </w:tcPr>
          <w:p>
            <w:pPr>
              <w:pStyle w:val="Compact"/>
              <w:jc w:val="right"/>
            </w:pPr>
            <w:r>
              <w:rPr>
                <w:rFonts w:ascii="Arial" w:hAnsi="Arial"/>
                <w:b/>
                <w:sz w:val="18"/>
              </w:rPr>
              <w:t xml:space="preserve">Facility plan "CLASSROOM"</w:t>
            </w:r>
          </w:p>
        </w:tc>
        <w:tc>
          <w:tcPr>
            <w:shd w:val="clear" w:fill="E8ECF3"/>
          </w:tcPr>
          <w:p>
            <w:pPr>
              <w:pStyle w:val="Compact"/>
              <w:jc w:val="left"/>
            </w:pPr>
            <w:r>
              <w:rPr>
                <w:rFonts w:ascii="Arial" w:hAnsi="Arial"/>
                <w:b/>
                <w:sz w:val="18"/>
              </w:rPr>
              <w:t xml:space="preserve">Other facility-plan rooms that could serve as homerooms</w:t>
            </w:r>
          </w:p>
        </w:tc>
        <w:tc>
          <w:tcPr>
            <w:shd w:val="clear" w:fill="E8ECF3"/>
          </w:tcPr>
          <w:p>
            <w:pPr>
              <w:pStyle w:val="Compact"/>
              <w:jc w:val="right"/>
            </w:pPr>
            <w:r>
              <w:rPr>
                <w:rFonts w:ascii="Arial" w:hAnsi="Arial"/>
                <w:b/>
                <w:sz w:val="18"/>
              </w:rPr>
              <w:t xml:space="preserve">Difference</w:t>
            </w:r>
          </w:p>
        </w:tc>
        <w:tc>
          <w:tcPr>
            <w:shd w:val="clear" w:fill="E8ECF3"/>
          </w:tcPr>
          <w:p>
            <w:pPr>
              <w:pStyle w:val="Compact"/>
              <w:jc w:val="right"/>
            </w:pPr>
            <w:r>
              <w:rPr>
                <w:bCs/>
                <w:rFonts w:ascii="Arial" w:hAnsi="Arial"/>
                <w:b/>
                <w:sz w:val="18"/>
              </w:rPr>
              <w:t xml:space="preserve">Sections today (district list, Oct 1, 2026)</w:t>
            </w:r>
          </w:p>
        </w:tc>
        <w:tc>
          <w:tcPr>
            <w:shd w:val="clear" w:fill="E8ECF3"/>
          </w:tcPr>
          <w:p>
            <w:pPr>
              <w:pStyle w:val="Compact"/>
              <w:jc w:val="right"/>
            </w:pPr>
            <w:r>
              <w:rPr>
                <w:rFonts w:ascii="Arial" w:hAnsi="Arial"/>
                <w:b/>
                <w:sz w:val="18"/>
              </w:rPr>
              <w:t xml:space="preserve">Classes needed 2027–28, no closures</w:t>
            </w:r>
          </w:p>
        </w:tc>
        <w:tc>
          <w:tcPr>
            <w:shd w:val="clear" w:fill="E8ECF3"/>
          </w:tcPr>
          <w:p>
            <w:pPr>
              <w:pStyle w:val="Compact"/>
              <w:jc w:val="right"/>
            </w:pPr>
            <w:r>
              <w:rPr>
                <w:rFonts w:ascii="Arial" w:hAnsi="Arial"/>
                <w:b/>
                <w:sz w:val="18"/>
              </w:rPr>
              <w:t xml:space="preserve">Spare rooms 2027–28: handout / facility plan</w:t>
            </w:r>
          </w:p>
        </w:tc>
      </w:tr>
      <w:tr>
        <w:tc>
          <w:tcPr/>
          <w:p>
            <w:pPr>
              <w:pStyle w:val="Compact"/>
              <w:jc w:val="left"/>
            </w:pPr>
            <w:r>
              <w:rPr>
                <w:rFonts w:ascii="Arial" w:hAnsi="Arial"/>
                <w:sz w:val="18"/>
              </w:rPr>
              <w:t xml:space="preserve">Dawes</w:t>
            </w:r>
          </w:p>
        </w:tc>
        <w:tc>
          <w:tcPr/>
          <w:p>
            <w:pPr>
              <w:pStyle w:val="Compact"/>
              <w:jc w:val="right"/>
            </w:pPr>
            <w:r>
              <w:rPr>
                <w:rFonts w:ascii="Arial" w:hAnsi="Arial"/>
                <w:sz w:val="18"/>
              </w:rPr>
              <w:t xml:space="preserve">20</w:t>
            </w:r>
          </w:p>
        </w:tc>
        <w:tc>
          <w:tcPr/>
          <w:p>
            <w:pPr>
              <w:pStyle w:val="Compact"/>
              <w:jc w:val="right"/>
            </w:pPr>
            <w:r>
              <w:rPr>
                <w:rFonts w:ascii="Arial" w:hAnsi="Arial"/>
                <w:sz w:val="18"/>
              </w:rPr>
              <w:t xml:space="preserve">21</w:t>
            </w:r>
          </w:p>
        </w:tc>
        <w:tc>
          <w:tcPr/>
          <w:p>
            <w:pPr>
              <w:pStyle w:val="Compact"/>
              <w:jc w:val="left"/>
            </w:pPr>
            <w:r>
              <w:rPr>
                <w:rFonts w:ascii="Arial" w:hAnsi="Arial"/>
                <w:sz w:val="18"/>
              </w:rPr>
              <w:t xml:space="preserve">SPED/OT room 16 (1,104 SF)</w:t>
            </w:r>
          </w:p>
        </w:tc>
        <w:tc>
          <w:tcPr/>
          <w:p>
            <w:pPr>
              <w:pStyle w:val="Compact"/>
              <w:jc w:val="right"/>
            </w:pPr>
            <w:r>
              <w:rPr>
                <w:rFonts w:ascii="Arial" w:hAnsi="Arial"/>
                <w:sz w:val="18"/>
              </w:rPr>
              <w:t xml:space="preserve">+1</w:t>
            </w:r>
          </w:p>
        </w:tc>
        <w:tc>
          <w:tcPr/>
          <w:p>
            <w:pPr>
              <w:pStyle w:val="Compact"/>
              <w:jc w:val="right"/>
            </w:pPr>
            <w:r>
              <w:rPr>
                <w:rFonts w:ascii="Arial" w:hAnsi="Arial"/>
                <w:sz w:val="18"/>
              </w:rPr>
              <w:t xml:space="preserve">16</w:t>
            </w:r>
          </w:p>
        </w:tc>
        <w:tc>
          <w:tcPr/>
          <w:p>
            <w:pPr>
              <w:pStyle w:val="Compact"/>
              <w:jc w:val="right"/>
            </w:pPr>
            <w:r>
              <w:rPr>
                <w:rFonts w:ascii="Arial" w:hAnsi="Arial"/>
                <w:sz w:val="18"/>
              </w:rPr>
              <w:t xml:space="preserve">13</w:t>
            </w:r>
          </w:p>
        </w:tc>
        <w:tc>
          <w:tcPr/>
          <w:p>
            <w:pPr>
              <w:pStyle w:val="Compact"/>
              <w:jc w:val="right"/>
            </w:pPr>
            <w:r>
              <w:rPr>
                <w:rFonts w:ascii="Arial" w:hAnsi="Arial"/>
                <w:sz w:val="18"/>
              </w:rPr>
              <w:t xml:space="preserve">7 / 8</w:t>
            </w:r>
          </w:p>
        </w:tc>
      </w:tr>
      <w:tr>
        <w:tc>
          <w:tcPr/>
          <w:p>
            <w:pPr>
              <w:pStyle w:val="Compact"/>
              <w:jc w:val="left"/>
            </w:pPr>
            <w:r>
              <w:rPr>
                <w:rFonts w:ascii="Arial" w:hAnsi="Arial"/>
                <w:sz w:val="18"/>
              </w:rPr>
              <w:t xml:space="preserve">Dewey</w:t>
            </w:r>
          </w:p>
        </w:tc>
        <w:tc>
          <w:tcPr/>
          <w:p>
            <w:pPr>
              <w:pStyle w:val="Compact"/>
              <w:jc w:val="right"/>
            </w:pPr>
            <w:r>
              <w:rPr>
                <w:rFonts w:ascii="Arial" w:hAnsi="Arial"/>
                <w:sz w:val="18"/>
              </w:rPr>
              <w:t xml:space="preserve">24</w:t>
            </w:r>
          </w:p>
        </w:tc>
        <w:tc>
          <w:tcPr/>
          <w:p>
            <w:pPr>
              <w:pStyle w:val="Compact"/>
              <w:jc w:val="right"/>
            </w:pPr>
            <w:r>
              <w:rPr>
                <w:rFonts w:ascii="Arial" w:hAnsi="Arial"/>
                <w:sz w:val="18"/>
              </w:rPr>
              <w:t xml:space="preserve">26</w:t>
            </w:r>
          </w:p>
        </w:tc>
        <w:tc>
          <w:tcPr/>
          <w:p>
            <w:pPr>
              <w:pStyle w:val="Compact"/>
              <w:jc w:val="left"/>
            </w:pPr>
            <w:r>
              <w:rPr>
                <w:rFonts w:ascii="Arial" w:hAnsi="Arial"/>
                <w:sz w:val="18"/>
              </w:rPr>
              <w:t xml:space="preserve">—</w:t>
            </w:r>
          </w:p>
        </w:tc>
        <w:tc>
          <w:tcPr/>
          <w:p>
            <w:pPr>
              <w:pStyle w:val="Compact"/>
              <w:jc w:val="right"/>
            </w:pPr>
            <w:r>
              <w:rPr>
                <w:rFonts w:ascii="Arial" w:hAnsi="Arial"/>
                <w:sz w:val="18"/>
              </w:rPr>
              <w:t xml:space="preserve">+2</w:t>
            </w:r>
          </w:p>
        </w:tc>
        <w:tc>
          <w:tcPr/>
          <w:p>
            <w:pPr>
              <w:pStyle w:val="Compact"/>
              <w:jc w:val="right"/>
            </w:pPr>
            <w:r>
              <w:rPr>
                <w:rFonts w:ascii="Arial" w:hAnsi="Arial"/>
                <w:sz w:val="18"/>
              </w:rPr>
              <w:t xml:space="preserve">18</w:t>
            </w:r>
          </w:p>
        </w:tc>
        <w:tc>
          <w:tcPr/>
          <w:p>
            <w:pPr>
              <w:pStyle w:val="Compact"/>
              <w:jc w:val="right"/>
            </w:pPr>
            <w:r>
              <w:rPr>
                <w:rFonts w:ascii="Arial" w:hAnsi="Arial"/>
                <w:sz w:val="18"/>
              </w:rPr>
              <w:t xml:space="preserve">15</w:t>
            </w:r>
          </w:p>
        </w:tc>
        <w:tc>
          <w:tcPr/>
          <w:p>
            <w:pPr>
              <w:pStyle w:val="Compact"/>
              <w:jc w:val="right"/>
            </w:pPr>
            <w:r>
              <w:rPr>
                <w:rFonts w:ascii="Arial" w:hAnsi="Arial"/>
                <w:sz w:val="18"/>
              </w:rPr>
              <w:t xml:space="preserve">9 / 11</w:t>
            </w:r>
          </w:p>
        </w:tc>
      </w:tr>
      <w:tr>
        <w:tc>
          <w:tcPr/>
          <w:p>
            <w:pPr>
              <w:pStyle w:val="Compact"/>
              <w:jc w:val="left"/>
            </w:pPr>
            <w:r>
              <w:rPr>
                <w:rFonts w:ascii="Arial" w:hAnsi="Arial"/>
                <w:sz w:val="18"/>
              </w:rPr>
              <w:t xml:space="preserve">Foster</w:t>
            </w:r>
          </w:p>
        </w:tc>
        <w:tc>
          <w:tcPr/>
          <w:p>
            <w:pPr>
              <w:pStyle w:val="Compact"/>
              <w:jc w:val="right"/>
            </w:pPr>
            <w:r>
              <w:rPr>
                <w:rFonts w:ascii="Arial" w:hAnsi="Arial"/>
                <w:sz w:val="18"/>
              </w:rPr>
              <w:t xml:space="preserve">24*</w:t>
            </w:r>
          </w:p>
        </w:tc>
        <w:tc>
          <w:tcPr/>
          <w:p>
            <w:pPr>
              <w:pStyle w:val="Compact"/>
              <w:jc w:val="right"/>
            </w:pPr>
            <w:r>
              <w:rPr>
                <w:rFonts w:ascii="Arial" w:hAnsi="Arial"/>
                <w:sz w:val="18"/>
              </w:rPr>
              <w:t xml:space="preserve">not in plan</w:t>
            </w:r>
          </w:p>
        </w:tc>
        <w:tc>
          <w:tcPr/>
          <w:p>
            <w:pPr>
              <w:pStyle w:val="Compact"/>
              <w:jc w:val="left"/>
            </w:pPr>
            <w:r>
              <w:rPr>
                <w:rFonts w:ascii="Arial" w:hAnsi="Arial"/>
                <w:sz w:val="18"/>
              </w:rPr>
              <w:t xml:space="preserve">—</w:t>
            </w:r>
          </w:p>
        </w:tc>
        <w:tc>
          <w:tcPr/>
          <w:p>
            <w:pPr>
              <w:pStyle w:val="Compact"/>
              <w:jc w:val="right"/>
            </w:pPr>
            <w:r>
              <w:rPr>
                <w:rFonts w:ascii="Arial" w:hAnsi="Arial"/>
                <w:sz w:val="18"/>
              </w:rPr>
              <w:t xml:space="preserve">—</w:t>
            </w:r>
          </w:p>
        </w:tc>
        <w:tc>
          <w:tcPr/>
          <w:p>
            <w:pPr>
              <w:pStyle w:val="Compact"/>
              <w:jc w:val="right"/>
            </w:pPr>
            <w:r>
              <w:rPr>
                <w:rFonts w:ascii="Arial" w:hAnsi="Arial"/>
                <w:sz w:val="18"/>
              </w:rPr>
              <w:t xml:space="preserve">20</w:t>
            </w:r>
          </w:p>
        </w:tc>
        <w:tc>
          <w:tcPr/>
          <w:p>
            <w:pPr>
              <w:pStyle w:val="Compact"/>
              <w:jc w:val="right"/>
            </w:pPr>
            <w:r>
              <w:rPr>
                <w:rFonts w:ascii="Arial" w:hAnsi="Arial"/>
                <w:sz w:val="18"/>
              </w:rPr>
              <w:t xml:space="preserve">16</w:t>
            </w:r>
          </w:p>
        </w:tc>
        <w:tc>
          <w:tcPr/>
          <w:p>
            <w:pPr>
              <w:pStyle w:val="Compact"/>
              <w:jc w:val="right"/>
            </w:pPr>
            <w:r>
              <w:rPr>
                <w:rFonts w:ascii="Arial" w:hAnsi="Arial"/>
                <w:sz w:val="18"/>
              </w:rPr>
              <w:t xml:space="preserve">8 / —</w:t>
            </w:r>
          </w:p>
        </w:tc>
      </w:tr>
      <w:tr>
        <w:tc>
          <w:tcPr/>
          <w:p>
            <w:pPr>
              <w:pStyle w:val="Compact"/>
              <w:jc w:val="left"/>
            </w:pPr>
            <w:r>
              <w:rPr>
                <w:rFonts w:ascii="Arial" w:hAnsi="Arial"/>
                <w:sz w:val="18"/>
              </w:rPr>
              <w:t xml:space="preserve">Lincoln</w:t>
            </w:r>
          </w:p>
        </w:tc>
        <w:tc>
          <w:tcPr/>
          <w:p>
            <w:pPr>
              <w:pStyle w:val="Compact"/>
              <w:jc w:val="right"/>
            </w:pPr>
            <w:r>
              <w:rPr>
                <w:rFonts w:ascii="Arial" w:hAnsi="Arial"/>
                <w:sz w:val="18"/>
              </w:rPr>
              <w:t xml:space="preserve">28</w:t>
            </w:r>
          </w:p>
        </w:tc>
        <w:tc>
          <w:tcPr/>
          <w:p>
            <w:pPr>
              <w:pStyle w:val="Compact"/>
              <w:jc w:val="right"/>
            </w:pPr>
            <w:r>
              <w:rPr>
                <w:rFonts w:ascii="Arial" w:hAnsi="Arial"/>
                <w:sz w:val="18"/>
              </w:rPr>
              <w:t xml:space="preserve">30</w:t>
            </w:r>
          </w:p>
        </w:tc>
        <w:tc>
          <w:tcPr/>
          <w:p>
            <w:pPr>
              <w:pStyle w:val="Compact"/>
              <w:jc w:val="left"/>
            </w:pPr>
            <w:r>
              <w:rPr>
                <w:rFonts w:ascii="Arial" w:hAnsi="Arial"/>
                <w:sz w:val="18"/>
              </w:rPr>
              <w:t xml:space="preserve">—</w:t>
            </w:r>
          </w:p>
        </w:tc>
        <w:tc>
          <w:tcPr/>
          <w:p>
            <w:pPr>
              <w:pStyle w:val="Compact"/>
              <w:jc w:val="right"/>
            </w:pPr>
            <w:r>
              <w:rPr>
                <w:rFonts w:ascii="Arial" w:hAnsi="Arial"/>
                <w:sz w:val="18"/>
              </w:rPr>
              <w:t xml:space="preserve">+2</w:t>
            </w:r>
          </w:p>
        </w:tc>
        <w:tc>
          <w:tcPr/>
          <w:p>
            <w:pPr>
              <w:pStyle w:val="Compact"/>
              <w:jc w:val="right"/>
            </w:pPr>
            <w:r>
              <w:rPr>
                <w:rFonts w:ascii="Arial" w:hAnsi="Arial"/>
                <w:sz w:val="18"/>
              </w:rPr>
              <w:t xml:space="preserve">18</w:t>
            </w:r>
          </w:p>
        </w:tc>
        <w:tc>
          <w:tcPr/>
          <w:p>
            <w:pPr>
              <w:pStyle w:val="Compact"/>
              <w:jc w:val="right"/>
            </w:pPr>
            <w:r>
              <w:rPr>
                <w:rFonts w:ascii="Arial" w:hAnsi="Arial"/>
                <w:sz w:val="18"/>
              </w:rPr>
              <w:t xml:space="preserve">18</w:t>
            </w:r>
          </w:p>
        </w:tc>
        <w:tc>
          <w:tcPr/>
          <w:p>
            <w:pPr>
              <w:pStyle w:val="Compact"/>
              <w:jc w:val="right"/>
            </w:pPr>
            <w:r>
              <w:rPr>
                <w:rFonts w:ascii="Arial" w:hAnsi="Arial"/>
                <w:sz w:val="18"/>
              </w:rPr>
              <w:t xml:space="preserve">10 / 12</w:t>
            </w:r>
          </w:p>
        </w:tc>
      </w:tr>
      <w:tr>
        <w:tc>
          <w:tcPr/>
          <w:p>
            <w:pPr>
              <w:pStyle w:val="Compact"/>
              <w:jc w:val="left"/>
            </w:pPr>
            <w:r>
              <w:rPr>
                <w:rFonts w:ascii="Arial" w:hAnsi="Arial"/>
                <w:sz w:val="18"/>
              </w:rPr>
              <w:t xml:space="preserve">Lincolnwood</w:t>
            </w:r>
          </w:p>
        </w:tc>
        <w:tc>
          <w:tcPr/>
          <w:p>
            <w:pPr>
              <w:pStyle w:val="Compact"/>
              <w:jc w:val="right"/>
            </w:pPr>
            <w:r>
              <w:rPr>
                <w:rFonts w:ascii="Arial" w:hAnsi="Arial"/>
                <w:sz w:val="18"/>
              </w:rPr>
              <w:t xml:space="preserve">19</w:t>
            </w:r>
          </w:p>
        </w:tc>
        <w:tc>
          <w:tcPr/>
          <w:p>
            <w:pPr>
              <w:pStyle w:val="Compact"/>
              <w:jc w:val="right"/>
            </w:pPr>
            <w:r>
              <w:rPr>
                <w:bCs/>
                <w:rFonts w:ascii="Arial" w:hAnsi="Arial"/>
                <w:b/>
                <w:sz w:val="18"/>
              </w:rPr>
              <w:t xml:space="preserve">18</w:t>
            </w:r>
          </w:p>
        </w:tc>
        <w:tc>
          <w:tcPr/>
          <w:p>
            <w:pPr>
              <w:pStyle w:val="Compact"/>
              <w:jc w:val="left"/>
            </w:pPr>
            <w:r>
              <w:rPr>
                <w:rFonts w:ascii="Arial" w:hAnsi="Arial"/>
                <w:sz w:val="18"/>
              </w:rPr>
              <w:t xml:space="preserve">2 "Learning Studio" rooms (812 and 825 SF)</w:t>
            </w:r>
          </w:p>
        </w:tc>
        <w:tc>
          <w:tcPr/>
          <w:p>
            <w:pPr>
              <w:pStyle w:val="Compact"/>
              <w:jc w:val="right"/>
            </w:pPr>
            <w:r>
              <w:rPr>
                <w:bCs/>
                <w:rFonts w:ascii="Arial" w:hAnsi="Arial"/>
                <w:b/>
                <w:sz w:val="18"/>
              </w:rPr>
              <w:t xml:space="preserve">−1</w:t>
            </w:r>
          </w:p>
        </w:tc>
        <w:tc>
          <w:tcPr/>
          <w:p>
            <w:pPr>
              <w:pStyle w:val="Compact"/>
              <w:jc w:val="right"/>
            </w:pPr>
            <w:r>
              <w:rPr>
                <w:rFonts w:ascii="Arial" w:hAnsi="Arial"/>
                <w:sz w:val="18"/>
              </w:rPr>
              <w:t xml:space="preserve">16</w:t>
            </w:r>
          </w:p>
        </w:tc>
        <w:tc>
          <w:tcPr/>
          <w:p>
            <w:pPr>
              <w:pStyle w:val="Compact"/>
              <w:jc w:val="right"/>
            </w:pPr>
            <w:r>
              <w:rPr>
                <w:rFonts w:ascii="Arial" w:hAnsi="Arial"/>
                <w:sz w:val="18"/>
              </w:rPr>
              <w:t xml:space="preserve">14</w:t>
            </w:r>
          </w:p>
        </w:tc>
        <w:tc>
          <w:tcPr/>
          <w:p>
            <w:pPr>
              <w:pStyle w:val="Compact"/>
              <w:jc w:val="right"/>
            </w:pPr>
            <w:r>
              <w:rPr>
                <w:rFonts w:ascii="Arial" w:hAnsi="Arial"/>
                <w:sz w:val="18"/>
              </w:rPr>
              <w:t xml:space="preserve">5 / 4</w:t>
            </w:r>
          </w:p>
        </w:tc>
      </w:tr>
      <w:tr>
        <w:tc>
          <w:tcPr/>
          <w:p>
            <w:pPr>
              <w:pStyle w:val="Compact"/>
              <w:jc w:val="left"/>
            </w:pPr>
            <w:r>
              <w:rPr>
                <w:rFonts w:ascii="Arial" w:hAnsi="Arial"/>
                <w:sz w:val="18"/>
              </w:rPr>
              <w:t xml:space="preserve">Oakton</w:t>
            </w:r>
          </w:p>
        </w:tc>
        <w:tc>
          <w:tcPr/>
          <w:p>
            <w:pPr>
              <w:pStyle w:val="Compact"/>
              <w:jc w:val="right"/>
            </w:pPr>
            <w:r>
              <w:rPr>
                <w:rFonts w:ascii="Arial" w:hAnsi="Arial"/>
                <w:sz w:val="18"/>
              </w:rPr>
              <w:t xml:space="preserve">25</w:t>
            </w:r>
          </w:p>
        </w:tc>
        <w:tc>
          <w:tcPr/>
          <w:p>
            <w:pPr>
              <w:pStyle w:val="Compact"/>
              <w:jc w:val="right"/>
            </w:pPr>
            <w:r>
              <w:rPr>
                <w:rFonts w:ascii="Arial" w:hAnsi="Arial"/>
                <w:sz w:val="18"/>
              </w:rPr>
              <w:t xml:space="preserve">21 shown†</w:t>
            </w:r>
          </w:p>
        </w:tc>
        <w:tc>
          <w:tcPr/>
          <w:p>
            <w:pPr>
              <w:pStyle w:val="Compact"/>
              <w:jc w:val="left"/>
            </w:pPr>
            <w:r>
              <w:rPr>
                <w:rFonts w:ascii="Arial" w:hAnsi="Arial"/>
                <w:sz w:val="18"/>
              </w:rPr>
              <w:t xml:space="preserve">—</w:t>
            </w:r>
          </w:p>
        </w:tc>
        <w:tc>
          <w:tcPr/>
          <w:p>
            <w:pPr>
              <w:pStyle w:val="Compact"/>
              <w:jc w:val="right"/>
            </w:pPr>
            <w:r>
              <w:rPr>
                <w:rFonts w:ascii="Arial" w:hAnsi="Arial"/>
                <w:sz w:val="18"/>
              </w:rPr>
              <w:t xml:space="preserve">−1 to −4</w:t>
            </w:r>
          </w:p>
        </w:tc>
        <w:tc>
          <w:tcPr/>
          <w:p>
            <w:pPr>
              <w:pStyle w:val="Compact"/>
              <w:jc w:val="right"/>
            </w:pPr>
            <w:r>
              <w:rPr>
                <w:rFonts w:ascii="Arial" w:hAnsi="Arial"/>
                <w:sz w:val="18"/>
              </w:rPr>
              <w:t xml:space="preserve">23</w:t>
            </w:r>
          </w:p>
        </w:tc>
        <w:tc>
          <w:tcPr/>
          <w:p>
            <w:pPr>
              <w:pStyle w:val="Compact"/>
              <w:jc w:val="right"/>
            </w:pPr>
            <w:r>
              <w:rPr>
                <w:rFonts w:ascii="Arial" w:hAnsi="Arial"/>
                <w:sz w:val="18"/>
              </w:rPr>
              <w:t xml:space="preserve">18</w:t>
            </w:r>
          </w:p>
        </w:tc>
        <w:tc>
          <w:tcPr/>
          <w:p>
            <w:pPr>
              <w:pStyle w:val="Compact"/>
              <w:jc w:val="right"/>
            </w:pPr>
            <w:r>
              <w:rPr>
                <w:rFonts w:ascii="Arial" w:hAnsi="Arial"/>
                <w:sz w:val="18"/>
              </w:rPr>
              <w:t xml:space="preserve">7 / 3–6</w:t>
            </w:r>
          </w:p>
        </w:tc>
      </w:tr>
      <w:tr>
        <w:tc>
          <w:tcPr/>
          <w:p>
            <w:pPr>
              <w:pStyle w:val="Compact"/>
              <w:jc w:val="left"/>
            </w:pPr>
            <w:r>
              <w:rPr>
                <w:rFonts w:ascii="Arial" w:hAnsi="Arial"/>
                <w:sz w:val="18"/>
              </w:rPr>
              <w:t xml:space="preserve">Orrington</w:t>
            </w:r>
          </w:p>
        </w:tc>
        <w:tc>
          <w:tcPr/>
          <w:p>
            <w:pPr>
              <w:pStyle w:val="Compact"/>
              <w:jc w:val="right"/>
            </w:pPr>
            <w:r>
              <w:rPr>
                <w:rFonts w:ascii="Arial" w:hAnsi="Arial"/>
                <w:sz w:val="18"/>
              </w:rPr>
              <w:t xml:space="preserve">19</w:t>
            </w:r>
          </w:p>
        </w:tc>
        <w:tc>
          <w:tcPr/>
          <w:p>
            <w:pPr>
              <w:pStyle w:val="Compact"/>
              <w:jc w:val="right"/>
            </w:pPr>
            <w:r>
              <w:rPr>
                <w:bCs/>
                <w:rFonts w:ascii="Arial" w:hAnsi="Arial"/>
                <w:b/>
                <w:sz w:val="18"/>
              </w:rPr>
              <w:t xml:space="preserve">17</w:t>
            </w:r>
          </w:p>
        </w:tc>
        <w:tc>
          <w:tcPr/>
          <w:p>
            <w:pPr>
              <w:pStyle w:val="Compact"/>
              <w:jc w:val="left"/>
            </w:pPr>
            <w:r>
              <w:rPr>
                <w:rFonts w:ascii="Arial" w:hAnsi="Arial"/>
                <w:sz w:val="18"/>
              </w:rPr>
              <w:t xml:space="preserve">"Classroom/Sensory Rm" 106 (988 SF), "Sensory Rm" 113 (669 SF)</w:t>
            </w:r>
          </w:p>
        </w:tc>
        <w:tc>
          <w:tcPr/>
          <w:p>
            <w:pPr>
              <w:pStyle w:val="Compact"/>
              <w:jc w:val="right"/>
            </w:pPr>
            <w:r>
              <w:rPr>
                <w:bCs/>
                <w:rFonts w:ascii="Arial" w:hAnsi="Arial"/>
                <w:b/>
                <w:sz w:val="18"/>
              </w:rPr>
              <w:t xml:space="preserve">−2</w:t>
            </w:r>
          </w:p>
        </w:tc>
        <w:tc>
          <w:tcPr/>
          <w:p>
            <w:pPr>
              <w:pStyle w:val="Compact"/>
              <w:jc w:val="right"/>
            </w:pPr>
            <w:r>
              <w:rPr>
                <w:rFonts w:ascii="Arial" w:hAnsi="Arial"/>
                <w:sz w:val="18"/>
              </w:rPr>
              <w:t xml:space="preserve">13</w:t>
            </w:r>
          </w:p>
        </w:tc>
        <w:tc>
          <w:tcPr/>
          <w:p>
            <w:pPr>
              <w:pStyle w:val="Compact"/>
              <w:jc w:val="right"/>
            </w:pPr>
            <w:r>
              <w:rPr>
                <w:rFonts w:ascii="Arial" w:hAnsi="Arial"/>
                <w:sz w:val="18"/>
              </w:rPr>
              <w:t xml:space="preserve">13</w:t>
            </w:r>
          </w:p>
        </w:tc>
        <w:tc>
          <w:tcPr/>
          <w:p>
            <w:pPr>
              <w:pStyle w:val="Compact"/>
              <w:jc w:val="right"/>
            </w:pPr>
            <w:r>
              <w:rPr>
                <w:rFonts w:ascii="Arial" w:hAnsi="Arial"/>
                <w:sz w:val="18"/>
              </w:rPr>
              <w:t xml:space="preserve">6 / 4</w:t>
            </w:r>
          </w:p>
        </w:tc>
      </w:tr>
      <w:tr>
        <w:tc>
          <w:tcPr/>
          <w:p>
            <w:pPr>
              <w:pStyle w:val="Compact"/>
              <w:jc w:val="left"/>
            </w:pPr>
            <w:r>
              <w:rPr>
                <w:rFonts w:ascii="Arial" w:hAnsi="Arial"/>
                <w:sz w:val="18"/>
              </w:rPr>
              <w:t xml:space="preserve">Walker</w:t>
            </w:r>
          </w:p>
        </w:tc>
        <w:tc>
          <w:tcPr/>
          <w:p>
            <w:pPr>
              <w:pStyle w:val="Compact"/>
              <w:jc w:val="right"/>
            </w:pPr>
            <w:r>
              <w:rPr>
                <w:rFonts w:ascii="Arial" w:hAnsi="Arial"/>
                <w:sz w:val="18"/>
              </w:rPr>
              <w:t xml:space="preserve">18</w:t>
            </w:r>
          </w:p>
        </w:tc>
        <w:tc>
          <w:tcPr/>
          <w:p>
            <w:pPr>
              <w:pStyle w:val="Compact"/>
              <w:jc w:val="right"/>
            </w:pPr>
            <w:r>
              <w:rPr>
                <w:rFonts w:ascii="Arial" w:hAnsi="Arial"/>
                <w:sz w:val="18"/>
              </w:rPr>
              <w:t xml:space="preserve">19</w:t>
            </w:r>
          </w:p>
        </w:tc>
        <w:tc>
          <w:tcPr/>
          <w:p>
            <w:pPr>
              <w:pStyle w:val="Compact"/>
              <w:jc w:val="left"/>
            </w:pPr>
            <w:r>
              <w:rPr>
                <w:rFonts w:ascii="Arial" w:hAnsi="Arial"/>
                <w:sz w:val="18"/>
              </w:rPr>
              <w:t xml:space="preserve">—</w:t>
            </w:r>
          </w:p>
        </w:tc>
        <w:tc>
          <w:tcPr/>
          <w:p>
            <w:pPr>
              <w:pStyle w:val="Compact"/>
              <w:jc w:val="right"/>
            </w:pPr>
            <w:r>
              <w:rPr>
                <w:rFonts w:ascii="Arial" w:hAnsi="Arial"/>
                <w:sz w:val="18"/>
              </w:rPr>
              <w:t xml:space="preserve">+1</w:t>
            </w:r>
          </w:p>
        </w:tc>
        <w:tc>
          <w:tcPr/>
          <w:p>
            <w:pPr>
              <w:pStyle w:val="Compact"/>
              <w:jc w:val="right"/>
            </w:pPr>
            <w:r>
              <w:rPr>
                <w:rFonts w:ascii="Arial" w:hAnsi="Arial"/>
                <w:sz w:val="18"/>
              </w:rPr>
              <w:t xml:space="preserve">15</w:t>
            </w:r>
          </w:p>
        </w:tc>
        <w:tc>
          <w:tcPr/>
          <w:p>
            <w:pPr>
              <w:pStyle w:val="Compact"/>
              <w:jc w:val="right"/>
            </w:pPr>
            <w:r>
              <w:rPr>
                <w:rFonts w:ascii="Arial" w:hAnsi="Arial"/>
                <w:sz w:val="18"/>
              </w:rPr>
              <w:t xml:space="preserve">15</w:t>
            </w:r>
          </w:p>
        </w:tc>
        <w:tc>
          <w:tcPr/>
          <w:p>
            <w:pPr>
              <w:pStyle w:val="Compact"/>
              <w:jc w:val="right"/>
            </w:pPr>
            <w:r>
              <w:rPr>
                <w:rFonts w:ascii="Arial" w:hAnsi="Arial"/>
                <w:sz w:val="18"/>
              </w:rPr>
              <w:t xml:space="preserve">3 / 4</w:t>
            </w:r>
          </w:p>
        </w:tc>
      </w:tr>
      <w:tr>
        <w:tc>
          <w:tcPr/>
          <w:p>
            <w:pPr>
              <w:pStyle w:val="Compact"/>
              <w:jc w:val="left"/>
            </w:pPr>
            <w:r>
              <w:rPr>
                <w:rFonts w:ascii="Arial" w:hAnsi="Arial"/>
                <w:sz w:val="18"/>
              </w:rPr>
              <w:t xml:space="preserve">Washington</w:t>
            </w:r>
          </w:p>
        </w:tc>
        <w:tc>
          <w:tcPr/>
          <w:p>
            <w:pPr>
              <w:pStyle w:val="Compact"/>
              <w:jc w:val="right"/>
            </w:pPr>
            <w:r>
              <w:rPr>
                <w:rFonts w:ascii="Arial" w:hAnsi="Arial"/>
                <w:sz w:val="18"/>
              </w:rPr>
              <w:t xml:space="preserve">24</w:t>
            </w:r>
          </w:p>
        </w:tc>
        <w:tc>
          <w:tcPr/>
          <w:p>
            <w:pPr>
              <w:pStyle w:val="Compact"/>
              <w:jc w:val="right"/>
            </w:pPr>
            <w:r>
              <w:rPr>
                <w:bCs/>
                <w:rFonts w:ascii="Arial" w:hAnsi="Arial"/>
                <w:b/>
                <w:sz w:val="18"/>
              </w:rPr>
              <w:t xml:space="preserve">27</w:t>
            </w:r>
          </w:p>
        </w:tc>
        <w:tc>
          <w:tcPr/>
          <w:p>
            <w:pPr>
              <w:pStyle w:val="Compact"/>
              <w:jc w:val="left"/>
            </w:pPr>
            <w:r>
              <w:rPr>
                <w:rFonts w:ascii="Arial" w:hAnsi="Arial"/>
                <w:sz w:val="18"/>
              </w:rPr>
              <w:t xml:space="preserve">—</w:t>
            </w:r>
          </w:p>
        </w:tc>
        <w:tc>
          <w:tcPr/>
          <w:p>
            <w:pPr>
              <w:pStyle w:val="Compact"/>
              <w:jc w:val="right"/>
            </w:pPr>
            <w:r>
              <w:rPr>
                <w:bCs/>
                <w:rFonts w:ascii="Arial" w:hAnsi="Arial"/>
                <w:b/>
                <w:sz w:val="18"/>
              </w:rPr>
              <w:t xml:space="preserve">+3</w:t>
            </w:r>
          </w:p>
        </w:tc>
        <w:tc>
          <w:tcPr/>
          <w:p>
            <w:pPr>
              <w:pStyle w:val="Compact"/>
              <w:jc w:val="right"/>
            </w:pPr>
            <w:r>
              <w:rPr>
                <w:rFonts w:ascii="Arial" w:hAnsi="Arial"/>
                <w:sz w:val="18"/>
              </w:rPr>
              <w:t xml:space="preserve">22</w:t>
            </w:r>
          </w:p>
        </w:tc>
        <w:tc>
          <w:tcPr/>
          <w:p>
            <w:pPr>
              <w:pStyle w:val="Compact"/>
              <w:jc w:val="right"/>
            </w:pPr>
            <w:r>
              <w:rPr>
                <w:rFonts w:ascii="Arial" w:hAnsi="Arial"/>
                <w:sz w:val="18"/>
              </w:rPr>
              <w:t xml:space="preserve">18</w:t>
            </w:r>
          </w:p>
        </w:tc>
        <w:tc>
          <w:tcPr/>
          <w:p>
            <w:pPr>
              <w:pStyle w:val="Compact"/>
              <w:jc w:val="right"/>
            </w:pPr>
            <w:r>
              <w:rPr>
                <w:rFonts w:ascii="Arial" w:hAnsi="Arial"/>
                <w:sz w:val="18"/>
              </w:rPr>
              <w:t xml:space="preserve">6 / 9</w:t>
            </w:r>
          </w:p>
        </w:tc>
      </w:tr>
      <w:tr>
        <w:tc>
          <w:tcPr/>
          <w:p>
            <w:pPr>
              <w:pStyle w:val="Compact"/>
              <w:jc w:val="left"/>
            </w:pPr>
            <w:r>
              <w:rPr>
                <w:rFonts w:ascii="Arial" w:hAnsi="Arial"/>
                <w:sz w:val="18"/>
              </w:rPr>
              <w:t xml:space="preserve">Willard</w:t>
            </w:r>
          </w:p>
        </w:tc>
        <w:tc>
          <w:tcPr/>
          <w:p>
            <w:pPr>
              <w:pStyle w:val="Compact"/>
              <w:jc w:val="right"/>
            </w:pPr>
            <w:r>
              <w:rPr>
                <w:rFonts w:ascii="Arial" w:hAnsi="Arial"/>
                <w:sz w:val="18"/>
              </w:rPr>
              <w:t xml:space="preserve">24</w:t>
            </w:r>
          </w:p>
        </w:tc>
        <w:tc>
          <w:tcPr/>
          <w:p>
            <w:pPr>
              <w:pStyle w:val="Compact"/>
              <w:jc w:val="right"/>
            </w:pPr>
            <w:r>
              <w:rPr>
                <w:bCs/>
                <w:rFonts w:ascii="Arial" w:hAnsi="Arial"/>
                <w:b/>
                <w:sz w:val="18"/>
              </w:rPr>
              <w:t xml:space="preserve">23</w:t>
            </w:r>
          </w:p>
        </w:tc>
        <w:tc>
          <w:tcPr/>
          <w:p>
            <w:pPr>
              <w:pStyle w:val="Compact"/>
              <w:jc w:val="left"/>
            </w:pPr>
            <w:r>
              <w:rPr>
                <w:rFonts w:ascii="Arial" w:hAnsi="Arial"/>
                <w:sz w:val="18"/>
              </w:rPr>
              <w:t xml:space="preserve">none (one 256 SF "classroom" is filed as small-group space)</w:t>
            </w:r>
          </w:p>
        </w:tc>
        <w:tc>
          <w:tcPr/>
          <w:p>
            <w:pPr>
              <w:pStyle w:val="Compact"/>
              <w:jc w:val="right"/>
            </w:pPr>
            <w:r>
              <w:rPr>
                <w:bCs/>
                <w:rFonts w:ascii="Arial" w:hAnsi="Arial"/>
                <w:b/>
                <w:sz w:val="18"/>
              </w:rPr>
              <w:t xml:space="preserve">−1</w:t>
            </w:r>
          </w:p>
        </w:tc>
        <w:tc>
          <w:tcPr/>
          <w:p>
            <w:pPr>
              <w:pStyle w:val="Compact"/>
              <w:jc w:val="right"/>
            </w:pPr>
            <w:r>
              <w:rPr>
                <w:rFonts w:ascii="Arial" w:hAnsi="Arial"/>
                <w:sz w:val="18"/>
              </w:rPr>
              <w:t xml:space="preserve">13</w:t>
            </w:r>
          </w:p>
        </w:tc>
        <w:tc>
          <w:tcPr/>
          <w:p>
            <w:pPr>
              <w:pStyle w:val="Compact"/>
              <w:jc w:val="right"/>
            </w:pPr>
            <w:r>
              <w:rPr>
                <w:rFonts w:ascii="Arial" w:hAnsi="Arial"/>
                <w:sz w:val="18"/>
              </w:rPr>
              <w:t xml:space="preserve">13</w:t>
            </w:r>
          </w:p>
        </w:tc>
        <w:tc>
          <w:tcPr/>
          <w:p>
            <w:pPr>
              <w:pStyle w:val="Compact"/>
              <w:jc w:val="right"/>
            </w:pPr>
            <w:r>
              <w:rPr>
                <w:rFonts w:ascii="Arial" w:hAnsi="Arial"/>
                <w:sz w:val="18"/>
              </w:rPr>
              <w:t xml:space="preserve">11 / 10</w:t>
            </w:r>
          </w:p>
        </w:tc>
      </w:tr>
      <w:tr>
        <w:tc>
          <w:tcPr/>
          <w:p>
            <w:pPr>
              <w:pStyle w:val="Compact"/>
              <w:jc w:val="left"/>
            </w:pPr>
            <w:r>
              <w:rPr>
                <w:rFonts w:ascii="Arial" w:hAnsi="Arial"/>
                <w:sz w:val="18"/>
              </w:rPr>
              <w:t xml:space="preserve">King Arts</w:t>
            </w:r>
          </w:p>
        </w:tc>
        <w:tc>
          <w:tcPr/>
          <w:p>
            <w:pPr>
              <w:pStyle w:val="Compact"/>
              <w:jc w:val="right"/>
            </w:pPr>
            <w:r>
              <w:rPr>
                <w:rFonts w:ascii="Arial" w:hAnsi="Arial"/>
                <w:sz w:val="18"/>
              </w:rPr>
              <w:t xml:space="preserve">27</w:t>
            </w:r>
          </w:p>
        </w:tc>
        <w:tc>
          <w:tcPr/>
          <w:p>
            <w:pPr>
              <w:pStyle w:val="Compact"/>
              <w:jc w:val="right"/>
            </w:pPr>
            <w:r>
              <w:rPr>
                <w:rFonts w:ascii="Arial" w:hAnsi="Arial"/>
                <w:sz w:val="18"/>
              </w:rPr>
              <w:t xml:space="preserve">30</w:t>
            </w:r>
          </w:p>
        </w:tc>
        <w:tc>
          <w:tcPr/>
          <w:p>
            <w:pPr>
              <w:pStyle w:val="Compact"/>
              <w:jc w:val="left"/>
            </w:pPr>
            <w:r>
              <w:rPr>
                <w:rFonts w:ascii="Arial" w:hAnsi="Arial"/>
                <w:sz w:val="18"/>
              </w:rPr>
              <w:t xml:space="preserve">—</w:t>
            </w:r>
          </w:p>
        </w:tc>
        <w:tc>
          <w:tcPr/>
          <w:p>
            <w:pPr>
              <w:pStyle w:val="Compact"/>
              <w:jc w:val="right"/>
            </w:pPr>
            <w:r>
              <w:rPr>
                <w:rFonts w:ascii="Arial" w:hAnsi="Arial"/>
                <w:sz w:val="18"/>
              </w:rPr>
              <w:t xml:space="preserve">+3</w:t>
            </w:r>
          </w:p>
        </w:tc>
        <w:tc>
          <w:tcPr/>
          <w:p>
            <w:pPr>
              <w:pStyle w:val="Compact"/>
              <w:jc w:val="right"/>
            </w:pPr>
            <w:r>
              <w:rPr>
                <w:rFonts w:ascii="Arial" w:hAnsi="Arial"/>
                <w:sz w:val="18"/>
              </w:rPr>
              <w:t xml:space="preserve">14</w:t>
            </w:r>
          </w:p>
        </w:tc>
        <w:tc>
          <w:tcPr/>
          <w:p>
            <w:pPr>
              <w:pStyle w:val="Compact"/>
              <w:jc w:val="right"/>
            </w:pPr>
            <w:r>
              <w:rPr>
                <w:rFonts w:ascii="Arial" w:hAnsi="Arial"/>
                <w:sz w:val="18"/>
              </w:rPr>
              <w:t xml:space="preserve">—</w:t>
            </w:r>
          </w:p>
        </w:tc>
        <w:tc>
          <w:tcPr/>
          <w:p>
            <w:pPr>
              <w:pStyle w:val="Compact"/>
              <w:jc w:val="right"/>
            </w:pPr>
            <w:r>
              <w:rPr>
                <w:rFonts w:ascii="Arial" w:hAnsi="Arial"/>
                <w:sz w:val="18"/>
              </w:rPr>
              <w:t xml:space="preserve">—</w:t>
            </w:r>
          </w:p>
        </w:tc>
      </w:tr>
      <w:tr>
        <w:tc>
          <w:tcPr/>
          <w:p>
            <w:pPr>
              <w:pStyle w:val="Compact"/>
              <w:jc w:val="left"/>
            </w:pPr>
            <w:r>
              <w:rPr>
                <w:rFonts w:ascii="Arial" w:hAnsi="Arial"/>
                <w:sz w:val="18"/>
              </w:rPr>
              <w:t xml:space="preserve">Kingsley (closing)</w:t>
            </w:r>
          </w:p>
        </w:tc>
        <w:tc>
          <w:tcPr/>
          <w:p>
            <w:pPr>
              <w:pStyle w:val="Compact"/>
              <w:jc w:val="right"/>
            </w:pPr>
            <w:r>
              <w:rPr>
                <w:rFonts w:ascii="Arial" w:hAnsi="Arial"/>
                <w:sz w:val="18"/>
              </w:rPr>
              <w:t xml:space="preserve">20</w:t>
            </w:r>
          </w:p>
        </w:tc>
        <w:tc>
          <w:tcPr/>
          <w:p>
            <w:pPr>
              <w:pStyle w:val="Compact"/>
              <w:jc w:val="right"/>
            </w:pPr>
            <w:r>
              <w:rPr>
                <w:rFonts w:ascii="Arial" w:hAnsi="Arial"/>
                <w:sz w:val="18"/>
              </w:rPr>
              <w:t xml:space="preserve">22 (one is 311 SF)</w:t>
            </w:r>
          </w:p>
        </w:tc>
        <w:tc>
          <w:tcPr/>
          <w:p>
            <w:pPr>
              <w:pStyle w:val="Compact"/>
              <w:jc w:val="left"/>
            </w:pPr>
            <w:r>
              <w:rPr>
                <w:rFonts w:ascii="Arial" w:hAnsi="Arial"/>
                <w:sz w:val="18"/>
              </w:rPr>
              <w:t xml:space="preserve">—</w:t>
            </w:r>
          </w:p>
        </w:tc>
        <w:tc>
          <w:tcPr/>
          <w:p>
            <w:pPr>
              <w:pStyle w:val="Compact"/>
              <w:jc w:val="right"/>
            </w:pPr>
            <w:r>
              <w:rPr>
                <w:rFonts w:ascii="Arial" w:hAnsi="Arial"/>
                <w:sz w:val="18"/>
              </w:rPr>
              <w:t xml:space="preserve">+2</w:t>
            </w:r>
          </w:p>
        </w:tc>
        <w:tc>
          <w:tcPr/>
          <w:p>
            <w:pPr>
              <w:pStyle w:val="Compact"/>
              <w:jc w:val="right"/>
            </w:pPr>
            <w:r>
              <w:rPr>
                <w:rFonts w:ascii="Arial" w:hAnsi="Arial"/>
                <w:sz w:val="18"/>
              </w:rPr>
              <w:t xml:space="preserve">—</w:t>
            </w:r>
          </w:p>
        </w:tc>
        <w:tc>
          <w:tcPr/>
          <w:p>
            <w:pPr>
              <w:pStyle w:val="Compact"/>
              <w:jc w:val="right"/>
            </w:pPr>
            <w:r>
              <w:rPr>
                <w:rFonts w:ascii="Arial" w:hAnsi="Arial"/>
                <w:sz w:val="18"/>
              </w:rPr>
              <w:t xml:space="preserve">—</w:t>
            </w:r>
          </w:p>
        </w:tc>
        <w:tc>
          <w:tcPr/>
          <w:p>
            <w:pPr>
              <w:pStyle w:val="Compact"/>
              <w:jc w:val="right"/>
            </w:pPr>
            <w:r>
              <w:rPr>
                <w:rFonts w:ascii="Arial" w:hAnsi="Arial"/>
                <w:sz w:val="18"/>
              </w:rPr>
              <w:t xml:space="preserve">—</w:t>
            </w:r>
          </w:p>
        </w:tc>
      </w:tr>
    </w:tbl>
    <w:p>
      <w:pPr>
        <w:pStyle w:val="BodyText"/>
      </w:pPr>
      <w:r>
        <w:t xml:space="preserve">* Foster has no floor-plan count and isn't in the facility plan.</w:t>
      </w:r>
      <w:r>
        <w:t xml:space="preserve"> </w:t>
      </w:r>
      <w:r>
        <w:t xml:space="preserve">† Oakton's schedule is cut off in the PDF: 24 Core Curriculum rooms are listed in the subtotal but only 21 rows are visible.</w:t>
      </w:r>
    </w:p>
    <w:p>
      <w:pPr>
        <w:pStyle w:val="BodyText"/>
      </w:pPr>
      <w:r>
        <w:t xml:space="preserve">"Sections today" is the district's FY27 K–5 section list, received by email October 1, 2026 (TWI and ACC included). "Classes needed" is each grade's projected 2027–28 students ÷ 24, rounded up (no TWI or special-ed sections), the same rule as the closure scenarios, so it runs below today's sections at schools with TWI or ACC.</w:t>
      </w:r>
    </w:p>
    <w:bookmarkStart w:id="59" w:name="what-it-changes-in-the-closure-scenarios"/>
    <w:p>
      <w:pPr>
        <w:pStyle w:val="Heading3"/>
      </w:pPr>
      <w:r>
        <w:t xml:space="preserve">What it changes in the closure scenarios</w:t>
      </w:r>
    </w:p>
    <w:p>
      <w:pPr>
        <w:pStyle w:val="FirstParagraph"/>
      </w:pPr>
      <w:r>
        <w:t xml:space="preserve">The facility plan and the handout agree within 1–3 rooms at most schools. The differences land on the schools that matter most for the north-side scenarios:</w:t>
      </w:r>
    </w:p>
    <w:p>
      <w:pPr>
        <w:numPr>
          <w:ilvl w:val="0"/>
          <w:numId w:val="1025"/>
        </w:numPr>
        <w:pStyle w:val="Compact"/>
      </w:pPr>
      <w:r>
        <w:rPr>
          <w:bCs/>
          <w:b/>
        </w:rPr>
        <w:t xml:space="preserve">Willard has 23 classrooms in the facility plan, not 24.</w:t>
      </w:r>
    </w:p>
    <w:p>
      <w:pPr>
        <w:numPr>
          <w:ilvl w:val="1"/>
          <w:numId w:val="1026"/>
        </w:numPr>
        <w:pStyle w:val="Compact"/>
      </w:pPr>
      <w:r>
        <w:t xml:space="preserve">Every scenario that sends Orrington whole to Willard needs 24 classes there, so it goes from "full" to</w:t>
      </w:r>
      <w:r>
        <w:t xml:space="preserve"> </w:t>
      </w:r>
      <w:r>
        <w:rPr>
          <w:bCs/>
          <w:b/>
        </w:rPr>
        <w:t xml:space="preserve">one classroom short</w:t>
      </w:r>
      <w:r>
        <w:t xml:space="preserve">. That covers Close Orrington, and Washington, Oakton or Dawes + Orrington.</w:t>
      </w:r>
    </w:p>
    <w:p>
      <w:pPr>
        <w:numPr>
          <w:ilvl w:val="1"/>
          <w:numId w:val="1026"/>
        </w:numPr>
        <w:pStyle w:val="Compact"/>
      </w:pPr>
      <w:r>
        <w:t xml:space="preserve">Lincolnwood → Willard (25 classes) becomes two short. Dewey + Orrington (26 classes) becomes three short.</w:t>
      </w:r>
    </w:p>
    <w:p>
      <w:pPr>
        <w:numPr>
          <w:ilvl w:val="0"/>
          <w:numId w:val="1025"/>
        </w:numPr>
        <w:pStyle w:val="Compact"/>
      </w:pPr>
      <w:r>
        <w:rPr>
          <w:bCs/>
          <w:b/>
        </w:rPr>
        <w:t xml:space="preserve">Lincolnwood (18) and Orrington (17) are tighter.</w:t>
      </w:r>
    </w:p>
    <w:p>
      <w:pPr>
        <w:numPr>
          <w:ilvl w:val="1"/>
          <w:numId w:val="1027"/>
        </w:numPr>
        <w:pStyle w:val="Compact"/>
      </w:pPr>
      <w:r>
        <w:t xml:space="preserve">The three "+ Willard" pairs (Washington, Oakton or Dawes + Willard) need 19 classes at each. They fit only if Lincolnwood's two learning studios and Orrington's two sensory rooms are used as homerooms.</w:t>
      </w:r>
    </w:p>
    <w:p>
      <w:pPr>
        <w:numPr>
          <w:ilvl w:val="1"/>
          <w:numId w:val="1027"/>
        </w:numPr>
        <w:pStyle w:val="Compact"/>
      </w:pPr>
      <w:r>
        <w:t xml:space="preserve">Close Dewey and the Lincolnwood split (3b) need exactly 17 at Orrington: full, with the sensory rooms as the only slack.</w:t>
      </w:r>
    </w:p>
    <w:p>
      <w:pPr>
        <w:numPr>
          <w:ilvl w:val="0"/>
          <w:numId w:val="1025"/>
        </w:numPr>
        <w:pStyle w:val="Compact"/>
      </w:pPr>
      <w:r>
        <w:rPr>
          <w:bCs/>
          <w:b/>
        </w:rPr>
        <w:t xml:space="preserve">Washington has 27, not 24.</w:t>
      </w:r>
      <w:r>
        <w:t xml:space="preserve"> </w:t>
      </w:r>
      <w:r>
        <w:t xml:space="preserve">Closing Oakton (alone or in a pair) needs 24 classes at Washington, so it has 3 spare rooms instead of none.</w:t>
      </w:r>
    </w:p>
    <w:p>
      <w:pPr>
        <w:numPr>
          <w:ilvl w:val="0"/>
          <w:numId w:val="1025"/>
        </w:numPr>
        <w:pStyle w:val="Compact"/>
      </w:pPr>
      <w:r>
        <w:rPr>
          <w:bCs/>
          <w:b/>
        </w:rPr>
        <w:t xml:space="preserve">Oakton already uses 23 sections this fall,</w:t>
      </w:r>
      <w:r>
        <w:t xml:space="preserve"> </w:t>
      </w:r>
      <w:r>
        <w:t xml:space="preserve">more than the 21 classrooms visible in the facility plan. That fits the plan's own count of 24 Core Curriculum rooms (3 rows are cut off in the PDF) and leaves little room.</w:t>
      </w:r>
    </w:p>
    <w:p>
      <w:pPr>
        <w:numPr>
          <w:ilvl w:val="0"/>
          <w:numId w:val="1025"/>
        </w:numPr>
        <w:pStyle w:val="Compact"/>
      </w:pPr>
      <w:r>
        <w:rPr>
          <w:bCs/>
          <w:b/>
        </w:rPr>
        <w:t xml:space="preserve">Oakton is tighter than the handout shows.</w:t>
      </w:r>
      <w:r>
        <w:t xml:space="preserve"> </w:t>
      </w:r>
      <w:r>
        <w:t xml:space="preserve">Close Dawes and the Washington pairs need 21 classes there, against the 21 visible rooms (about 24 including the rows cut off in the PDF).</w:t>
      </w:r>
    </w:p>
    <w:p>
      <w:pPr>
        <w:pStyle w:val="FirstParagraph"/>
      </w:pPr>
      <w:r>
        <w:rPr>
          <w:bCs/>
          <w:b/>
        </w:rPr>
        <w:t xml:space="preserve">Bottom line.</w:t>
      </w:r>
      <w:r>
        <w:t xml:space="preserve"> </w:t>
      </w:r>
      <w:r>
        <w:t xml:space="preserve">On capacity (seats), the six "fits" pairs still fit. On classrooms, using the facility plan's counts:</w:t>
      </w:r>
    </w:p>
    <w:p>
      <w:pPr>
        <w:numPr>
          <w:ilvl w:val="0"/>
          <w:numId w:val="1028"/>
        </w:numPr>
        <w:pStyle w:val="Compact"/>
      </w:pPr>
      <w:r>
        <w:t xml:space="preserve">None of the six has a spare room at every receiver.</w:t>
      </w:r>
    </w:p>
    <w:p>
      <w:pPr>
        <w:numPr>
          <w:ilvl w:val="0"/>
          <w:numId w:val="1028"/>
        </w:numPr>
        <w:pStyle w:val="Compact"/>
      </w:pPr>
      <w:r>
        <w:t xml:space="preserve">The three "+ Orrington" pairs are one room short at Willard.</w:t>
      </w:r>
    </w:p>
    <w:p>
      <w:pPr>
        <w:numPr>
          <w:ilvl w:val="0"/>
          <w:numId w:val="1028"/>
        </w:numPr>
        <w:pStyle w:val="Compact"/>
      </w:pPr>
      <w:r>
        <w:t xml:space="preserve">The three "+ Willard" pairs work only by converting specialized rooms.</w:t>
      </w:r>
    </w:p>
    <w:p>
      <w:pPr>
        <w:pStyle w:val="FirstParagraph"/>
      </w:pPr>
      <w:r>
        <w:t xml:space="preserve">Before relying on either count, the district should confirm homeroom counts building by building. The two sources were surveyed three years apart and may label the same rooms differently.</w:t>
      </w:r>
    </w:p>
    <w:p>
      <w:pPr>
        <w:pStyle w:val="BodyText"/>
      </w:pPr>
      <w:r>
        <w:t xml:space="preserve">Scenario-by-scenario detail:</w:t>
      </w:r>
      <w:r>
        <w:t xml:space="preserve"> </w:t>
      </w:r>
      <w:r>
        <w:rPr>
          <w:rStyle w:val="VerbatimChar"/>
        </w:rPr>
        <w:t xml:space="preserve">facility_master_plan_2026/fmp_vs_handout_classrooms_by_scenario.csv</w:t>
      </w:r>
      <w:r>
        <w:t xml:space="preserve">. Facility-plan room data:</w:t>
      </w:r>
      <w:r>
        <w:t xml:space="preserve"> </w:t>
      </w:r>
      <w:r>
        <w:rPr>
          <w:rStyle w:val="VerbatimChar"/>
        </w:rPr>
        <w:t xml:space="preserve">facility_master_plan_2026/fmp_rooms.csv</w:t>
      </w:r>
      <w:r>
        <w:t xml:space="preserve">.</w:t>
      </w:r>
    </w:p>
    <w:p>
      <w:pPr>
        <w:pStyle w:val="BodyText"/>
      </w:pPr>
      <w:r>
        <w:rPr>
          <w:iCs/>
          <w:i/>
        </w:rPr>
        <w:t xml:space="preserve">Built with help from Claude (AI); please verify.</w:t>
      </w:r>
    </w:p>
    <w:bookmarkEnd w:id="59"/>
    <w:bookmarkEnd w:id="60"/>
    <w:bookmarkEnd w:id="61"/>
    <w:sectPr>
      <w:pgMar w:left="1152" w:right="1152" w:top="1152" w:bottom="11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rial" w:hAnsi="Arial" w:eastAsia="Arial"/>
      <w:sz w:val="21"/>
    </w:rPr>
  </w:style>
  <w:style w:styleId="BodyText" w:type="paragraph">
    <w:name w:val="Body Text"/>
    <w:basedOn w:val="Normal"/>
    <w:link w:val="BodyTextChar"/>
    <w:pPr>
      <w:spacing w:after="180" w:before="180"/>
    </w:pPr>
    <w:qFormat/>
    <w:rPr>
      <w:rFonts w:ascii="Arial" w:hAnsi="Arial" w:eastAsia="Arial"/>
      <w:sz w:val="21"/>
    </w:rPr>
  </w:style>
  <w:style w:customStyle="1" w:styleId="FirstParagraph" w:type="paragraph">
    <w:name w:val="First Paragraph"/>
    <w:basedOn w:val="BodyText"/>
    <w:next w:val="BodyText"/>
    <w:qFormat/>
    <w:rPr>
      <w:rFonts w:ascii="Arial" w:hAnsi="Arial" w:eastAsia="Arial"/>
      <w:sz w:val="21"/>
    </w:rPr>
  </w:style>
  <w:style w:customStyle="1" w:styleId="Compact" w:type="paragraph">
    <w:name w:val="Compact"/>
    <w:basedOn w:val="BodyText"/>
    <w:qFormat/>
    <w:pPr>
      <w:spacing w:after="36" w:before="36"/>
    </w:pPr>
    <w:rPr>
      <w:rFonts w:ascii="Arial" w:hAnsi="Arial" w:eastAsia="Arial"/>
      <w:sz w:val="21"/>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Arial" w:hAnsi="Arial"/>
      <w:b/>
      <w:bCs/>
      <w:color w:val="1D2B4F"/>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ascii="Arial" w:hAnsi="Arial"/>
      <w:b/>
      <w:bCs/>
      <w:color w:val="1D2B4F"/>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ascii="Arial" w:hAnsi="Arial"/>
      <w:b/>
      <w:bCs/>
      <w:color w:val="1D2B4F"/>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ascii="Arial" w:hAnsi="Arial"/>
      <w:b/>
      <w:bCs/>
      <w:color w:val="1D2B4F"/>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ascii="Arial" w:hAnsi="Arial"/>
      <w:i/>
      <w:bCs/>
      <w:color w:val="1D2B4F"/>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ascii="Arial" w:hAnsi="Arial"/>
      <w:iCs/>
      <w:color w:val="1D2B4F"/>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ascii="Arial" w:hAnsi="Arial"/>
      <w:color w:val="1D2B4F"/>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ascii="Arial" w:hAnsi="Arial"/>
      <w:color w:val="1D2B4F"/>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ascii="Arial" w:hAnsi="Arial"/>
      <w:color w:val="1D2B4F"/>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ascii="Arial" w:hAnsi="Arial"/>
      <w:color w:val="1D2B4F"/>
      <w:sz w:val="24"/>
      <w:szCs w:val="24"/>
    </w:rPr>
  </w:style>
  <w:style w:styleId="BlockText" w:type="paragraph">
    <w:name w:val="Block Text"/>
    <w:basedOn w:val="BodyText"/>
    <w:next w:val="BodyText"/>
    <w:uiPriority w:val="9"/>
    <w:unhideWhenUsed/>
    <w:qFormat/>
    <w:pPr>
      <w:spacing w:after="100" w:before="100"/>
      <w:ind w:firstLine="0" w:left="480" w:right="480"/>
    </w:pPr>
    <w:rPr>
      <w:rFonts w:ascii="Arial" w:hAnsi="Arial" w:eastAsia="Arial"/>
      <w:sz w:val="21"/>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8" Type="http://schemas.openxmlformats.org/officeDocument/2006/relationships/image" Target="media/rId28.png"/><Relationship Id="rId32" Type="http://schemas.openxmlformats.org/officeDocument/2006/relationships/image" Target="media/rId32.png"/><Relationship Id="rId23" Type="http://schemas.openxmlformats.org/officeDocument/2006/relationships/image" Target="media/rId23.png"/><Relationship Id="rId37" Type="http://schemas.openxmlformats.org/officeDocument/2006/relationships/image" Target="media/rId37.png"/><Relationship Id="rId47" Type="http://schemas.openxmlformats.org/officeDocument/2006/relationships/image" Target="media/rId47.png"/><Relationship Id="rId54" Type="http://schemas.openxmlformats.org/officeDocument/2006/relationships/image" Target="media/rId54.png"/><Relationship Id="rId43" Type="http://schemas.openxmlformats.org/officeDocument/2006/relationships/image" Target="media/rId43.png"/><Relationship Id="rId20" Type="http://schemas.openxmlformats.org/officeDocument/2006/relationships/hyperlink" Target="https://data.district65.net" TargetMode="External"/><Relationship Id="rId31" Type="http://schemas.openxmlformats.org/officeDocument/2006/relationships/hyperlink" Target="https://resources.finalsite.net/images/v1774292798/district65net/qe007gerizmoqz8hfewa/District65MFP2026.pdf" TargetMode="External"/></Relationships>
</file>

<file path=word/_rels/footnotes.xml.rels><?xml version='1.0' encoding='UTF-8' standalone='yes'?>
<Relationships xmlns="http://schemas.openxmlformats.org/package/2006/relationships"><Relationship Id="rId20" Type="http://schemas.openxmlformats.org/officeDocument/2006/relationships/hyperlink" Target="https://data.district65.net" TargetMode="External"/><Relationship Id="rId31" Type="http://schemas.openxmlformats.org/officeDocument/2006/relationships/hyperlink" Target="https://resources.finalsite.net/images/v1774292798/district65net/qe007gerizmoqz8hfewa/District65MFP2026.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2026-10-01T20:53:43Z</dcterms:created>
  <dcterms:modified xsi:type="dcterms:W3CDTF">2026-10-01T20:53:43Z</dcterms:modified>
</cp:coreProperties>
</file>

<file path=docProps/custom.xml><?xml version="1.0" encoding="utf-8"?>
<Properties xmlns="http://schemas.openxmlformats.org/officeDocument/2006/custom-properties" xmlns:vt="http://schemas.openxmlformats.org/officeDocument/2006/docPropsVTypes"/>
</file>