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1B3A5C"/>
          <w:sz w:val="52"/>
          <w:szCs w:val="52"/>
        </w:rPr>
        <w:t xml:space="preserve">Tracy-Widom Ansatz Expressibility</w:t>
      </w:r>
    </w:p>
    <w:p>
      <w:pPr>
        <w:spacing w:after="200"/>
        <w:jc w:val="center"/>
      </w:pPr>
      <w:r>
        <w:rPr>
          <w:rFonts w:ascii="Arial" w:cs="Arial" w:eastAsia="Arial" w:hAnsi="Arial"/>
          <w:color w:val="4A4A4A"/>
          <w:sz w:val="36"/>
          <w:szCs w:val="36"/>
        </w:rPr>
        <w:t xml:space="preserve">Analytic and Numerical Proof</w:t>
      </w:r>
    </w:p>
    <w:p>
      <w:pPr>
        <w:pBdr>
          <w:bottom w:val="single" w:color="1B3A5C" w:sz="6" w:space="8"/>
        </w:pBdr>
        <w:spacing w:after="80"/>
        <w:jc w:val="center"/>
      </w:pPr>
    </w:p>
    <w:p>
      <w:pPr>
        <w:spacing w:after="120" w:before="400"/>
        <w:jc w:val="center"/>
      </w:pPr>
      <w:r>
        <w:rPr>
          <w:rFonts w:ascii="Arial" w:cs="Arial" w:eastAsia="Arial" w:hAnsi="Arial"/>
          <w:color w:val="555555"/>
          <w:sz w:val="26"/>
          <w:szCs w:val="26"/>
        </w:rPr>
        <w:t xml:space="preserve">Can variational quantum ansatz circuits initialize</w:t>
      </w:r>
    </w:p>
    <w:p>
      <w:pPr>
        <w:spacing w:after="120"/>
        <w:jc w:val="center"/>
      </w:pPr>
      <w:r>
        <w:rPr>
          <w:rFonts w:ascii="Arial" w:cs="Arial" w:eastAsia="Arial" w:hAnsi="Arial"/>
          <w:color w:val="555555"/>
          <w:sz w:val="26"/>
          <w:szCs w:val="26"/>
        </w:rPr>
        <w:t xml:space="preserve">Tracy-Widom distributions from random matrix theory?</w:t>
      </w:r>
    </w:p>
    <w:p>
      <w:pPr>
        <w:spacing w:after="100" w:before="600"/>
        <w:jc w:val="center"/>
      </w:pPr>
      <w:r>
        <w:rPr>
          <w:rFonts w:ascii="Arial" w:cs="Arial" w:eastAsia="Arial" w:hAnsi="Arial"/>
          <w:b/>
          <w:bCs/>
          <w:color w:val="1B3A5C"/>
          <w:sz w:val="24"/>
          <w:szCs w:val="24"/>
        </w:rPr>
        <w:t xml:space="preserve">WINGS Quantum State Preparation Framework</w:t>
      </w:r>
    </w:p>
    <w:p>
      <w:pPr>
        <w:spacing w:after="60"/>
        <w:jc w:val="center"/>
      </w:pPr>
      <w:r>
        <w:rPr>
          <w:rFonts w:ascii="Arial" w:cs="Arial" w:eastAsia="Arial" w:hAnsi="Arial"/>
          <w:color w:val="777777"/>
          <w:sz w:val="22"/>
          <w:szCs w:val="22"/>
        </w:rPr>
        <w:t xml:space="preserve">Gaussian State Optimizer Package</w:t>
      </w:r>
    </w:p>
    <w:p>
      <w:pPr>
        <w:spacing w:before="400"/>
        <w:jc w:val="center"/>
      </w:pPr>
      <w:r>
        <w:rPr>
          <w:rFonts w:ascii="Arial" w:cs="Arial" w:eastAsia="Arial" w:hAnsi="Arial"/>
          <w:color w:val="999999"/>
          <w:sz w:val="22"/>
          <w:szCs w:val="22"/>
        </w:rPr>
        <w:t xml:space="preserve">March 31, 2026</w:t>
      </w:r>
    </w:p>
    <w:p>
      <w:pPr>
        <w:sectPr>
          <w:pgSz w:w="12240" w:h="15840" w:orient="portrait"/>
          <w:pgMar w:top="360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Theorem Statement</w:t>
      </w:r>
    </w:p>
    <w:p>
      <w:pPr>
        <w:spacing w:after="160" w:line="276"/>
      </w:pPr>
      <w:r>
        <w:rPr>
          <w:rFonts w:ascii="Arial" w:cs="Arial" w:eastAsia="Arial" w:hAnsi="Arial"/>
          <w:b/>
          <w:bCs/>
          <w:sz w:val="22"/>
          <w:szCs w:val="22"/>
        </w:rPr>
        <w:t xml:space="preserve">Theorem (informal). </w:t>
      </w:r>
      <w:r>
        <w:rPr>
          <w:rFonts w:ascii="Arial" w:cs="Arial" w:eastAsia="Arial" w:hAnsi="Arial"/>
          <w:sz w:val="22"/>
          <w:szCs w:val="22"/>
        </w:rPr>
        <w:t xml:space="preserve">For </w:t>
      </w:r>
      <w:r>
        <w:rPr>
          <w:rFonts w:ascii="Cambria Math" w:cs="Cambria Math" w:eastAsia="Cambria Math" w:hAnsi="Cambria Math"/>
          <w:i/>
          <w:iCs/>
          <w:sz w:val="22"/>
          <w:szCs w:val="22"/>
        </w:rPr>
        <w:t xml:space="preserve">N</w:t>
      </w:r>
      <w:r>
        <w:rPr>
          <w:rFonts w:ascii="Arial" w:cs="Arial" w:eastAsia="Arial" w:hAnsi="Arial"/>
          <w:sz w:val="22"/>
          <w:szCs w:val="22"/>
        </w:rPr>
        <w:t xml:space="preserve"> qubits encoding a 2</w:t>
      </w:r>
      <w:r>
        <w:rPr>
          <w:rFonts w:ascii="Arial" w:cs="Arial" w:eastAsia="Arial" w:hAnsi="Arial"/>
          <w:sz w:val="22"/>
          <w:szCs w:val="22"/>
          <w:vertAlign w:val="superscript"/>
        </w:rPr>
        <w:t xml:space="preserve">N</w:t>
      </w:r>
      <w:r>
        <w:rPr>
          <w:rFonts w:ascii="Arial" w:cs="Arial" w:eastAsia="Arial" w:hAnsi="Arial"/>
          <w:sz w:val="22"/>
          <w:szCs w:val="22"/>
        </w:rPr>
        <w:t xml:space="preserve">-dimensional discretization of the Tracy-Widom probability density function </w:t>
      </w:r>
      <w:r>
        <w:rPr>
          <w:rFonts w:ascii="Cambria Math" w:cs="Cambria Math" w:eastAsia="Cambria Math" w:hAnsi="Cambria Math"/>
          <w:i/>
          <w:iCs/>
          <w:sz w:val="22"/>
          <w:szCs w:val="22"/>
        </w:rPr>
        <w:t xml:space="preserve">fβ(s)</w:t>
      </w:r>
      <w:r>
        <w:rPr>
          <w:rFonts w:ascii="Arial" w:cs="Arial" w:eastAsia="Arial" w:hAnsi="Arial"/>
          <w:sz w:val="22"/>
          <w:szCs w:val="22"/>
        </w:rPr>
        <w:t xml:space="preserve"> with </w:t>
      </w:r>
      <w:r>
        <w:rPr>
          <w:rFonts w:ascii="Cambria Math" w:cs="Cambria Math" w:eastAsia="Cambria Math" w:hAnsi="Cambria Math"/>
          <w:i/>
          <w:iCs/>
          <w:sz w:val="22"/>
          <w:szCs w:val="22"/>
        </w:rPr>
        <w:t xml:space="preserve">β ∈ {1, 2, 4}</w:t>
      </w:r>
      <w:r>
        <w:rPr>
          <w:rFonts w:ascii="Arial" w:cs="Arial" w:eastAsia="Arial" w:hAnsi="Arial"/>
          <w:sz w:val="22"/>
          <w:szCs w:val="22"/>
        </w:rPr>
        <w:t xml:space="preserve">, the DefaultAnsatz (RY + CNOT, linear entanglement) can prepare the target state </w:t>
      </w:r>
      <w:r>
        <w:rPr>
          <w:rFonts w:ascii="Cambria Math" w:cs="Cambria Math" w:eastAsia="Cambria Math" w:hAnsi="Cambria Math"/>
          <w:i/>
          <w:iCs/>
          <w:sz w:val="22"/>
          <w:szCs w:val="22"/>
        </w:rPr>
        <w:t xml:space="preserve">ψβ = √fβ / ||√fβ||</w:t>
      </w:r>
      <w:r>
        <w:rPr>
          <w:rFonts w:ascii="Arial" w:cs="Arial" w:eastAsia="Arial" w:hAnsi="Arial"/>
          <w:sz w:val="22"/>
          <w:szCs w:val="22"/>
        </w:rPr>
        <w:t xml:space="preserve"> to fidelity </w:t>
      </w:r>
      <w:r>
        <w:rPr>
          <w:rFonts w:ascii="Cambria Math" w:cs="Cambria Math" w:eastAsia="Cambria Math" w:hAnsi="Cambria Math"/>
          <w:i/>
          <w:iCs/>
          <w:sz w:val="22"/>
          <w:szCs w:val="22"/>
        </w:rPr>
        <w:t xml:space="preserve">F &gt; 0.99</w:t>
      </w:r>
      <w:r>
        <w:rPr>
          <w:rFonts w:ascii="Arial" w:cs="Arial" w:eastAsia="Arial" w:hAnsi="Arial"/>
          <w:sz w:val="22"/>
          <w:szCs w:val="22"/>
        </w:rPr>
        <w:t xml:space="preserve"> at circuit depth </w:t>
      </w:r>
      <w:r>
        <w:rPr>
          <w:rFonts w:ascii="Cambria Math" w:cs="Cambria Math" w:eastAsia="Cambria Math" w:hAnsi="Cambria Math"/>
          <w:i/>
          <w:iCs/>
          <w:sz w:val="22"/>
          <w:szCs w:val="22"/>
        </w:rPr>
        <w:t xml:space="preserve">L = O(N)</w:t>
      </w:r>
      <w:r>
        <w:rPr>
          <w:rFonts w:ascii="Arial" w:cs="Arial" w:eastAsia="Arial" w:hAnsi="Arial"/>
          <w:sz w:val="22"/>
          <w:szCs w:val="22"/>
        </w:rPr>
        <w:t xml:space="preserve">. The EfficientSU2Ansatz (RY + RZ + CNOT) can also prepare the state in principle, but its overparameterization degrades optimization landscape traversal for purely real targets.</w:t>
      </w:r>
    </w:p>
    <w:p>
      <w:pPr>
        <w:pStyle w:val="Heading1"/>
        <w:spacing w:after="200" w:before="360"/>
      </w:pPr>
      <w:r>
        <w:rPr>
          <w:rFonts w:ascii="Arial" w:cs="Arial" w:eastAsia="Arial" w:hAnsi="Arial"/>
          <w:b/>
          <w:bCs/>
          <w:sz w:val="32"/>
          <w:szCs w:val="32"/>
        </w:rPr>
        <w:t xml:space="preserve">2. Background</w:t>
      </w:r>
    </w:p>
    <w:p>
      <w:pPr>
        <w:pStyle w:val="Heading2"/>
        <w:spacing w:after="160" w:before="280"/>
      </w:pPr>
      <w:r>
        <w:rPr>
          <w:rFonts w:ascii="Arial" w:cs="Arial" w:eastAsia="Arial" w:hAnsi="Arial"/>
          <w:b/>
          <w:bCs/>
          <w:sz w:val="28"/>
          <w:szCs w:val="28"/>
        </w:rPr>
        <w:t xml:space="preserve">2.1 Tracy-Widom Distributions</w:t>
      </w:r>
    </w:p>
    <w:p>
      <w:pPr>
        <w:spacing w:after="160" w:line="276"/>
      </w:pPr>
      <w:r>
        <w:rPr>
          <w:rFonts w:ascii="Arial" w:cs="Arial" w:eastAsia="Arial" w:hAnsi="Arial"/>
          <w:sz w:val="22"/>
          <w:szCs w:val="22"/>
        </w:rPr>
        <w:t xml:space="preserve">The Tracy-Widom distributions describe the fluctuations of the largest eigenvalue of large random matrices drawn from the three classical ensembles:</w:t>
      </w:r>
    </w:p>
    <w:p>
      <w:pPr>
        <w:pStyle w:val="ListParagraph"/>
        <w:numPr>
          <w:ilvl w:val="0"/>
          <w:numId w:val="2"/>
        </w:numPr>
        <w:spacing w:after="160" w:line="276"/>
      </w:pPr>
      <w:r>
        <w:rPr>
          <w:rFonts w:ascii="Arial" w:cs="Arial" w:eastAsia="Arial" w:hAnsi="Arial"/>
          <w:b/>
          <w:bCs/>
          <w:sz w:val="22"/>
          <w:szCs w:val="22"/>
        </w:rPr>
        <w:t xml:space="preserve">TW₁ (β = 1): </w:t>
      </w:r>
      <w:r>
        <w:rPr>
          <w:rFonts w:ascii="Arial" w:cs="Arial" w:eastAsia="Arial" w:hAnsi="Arial"/>
          <w:sz w:val="22"/>
          <w:szCs w:val="22"/>
        </w:rPr>
        <w:t xml:space="preserve">Gaussian Orthogonal Ensemble (GOE) — real symmetric matrices.</w:t>
      </w:r>
    </w:p>
    <w:p>
      <w:pPr>
        <w:pStyle w:val="ListParagraph"/>
        <w:numPr>
          <w:ilvl w:val="0"/>
          <w:numId w:val="2"/>
        </w:numPr>
        <w:spacing w:after="160" w:line="276"/>
      </w:pPr>
      <w:r>
        <w:rPr>
          <w:rFonts w:ascii="Arial" w:cs="Arial" w:eastAsia="Arial" w:hAnsi="Arial"/>
          <w:b/>
          <w:bCs/>
          <w:sz w:val="22"/>
          <w:szCs w:val="22"/>
        </w:rPr>
        <w:t xml:space="preserve">TW₂ (β = 2): </w:t>
      </w:r>
      <w:r>
        <w:rPr>
          <w:rFonts w:ascii="Arial" w:cs="Arial" w:eastAsia="Arial" w:hAnsi="Arial"/>
          <w:sz w:val="22"/>
          <w:szCs w:val="22"/>
        </w:rPr>
        <w:t xml:space="preserve">Gaussian Unitary Ensemble (GUE) — complex Hermitian matrices.</w:t>
      </w:r>
    </w:p>
    <w:p>
      <w:pPr>
        <w:pStyle w:val="ListParagraph"/>
        <w:numPr>
          <w:ilvl w:val="0"/>
          <w:numId w:val="2"/>
        </w:numPr>
        <w:spacing w:after="160" w:line="276"/>
      </w:pPr>
      <w:r>
        <w:rPr>
          <w:rFonts w:ascii="Arial" w:cs="Arial" w:eastAsia="Arial" w:hAnsi="Arial"/>
          <w:b/>
          <w:bCs/>
          <w:sz w:val="22"/>
          <w:szCs w:val="22"/>
        </w:rPr>
        <w:t xml:space="preserve">TW₄ (β = 4): </w:t>
      </w:r>
      <w:r>
        <w:rPr>
          <w:rFonts w:ascii="Arial" w:cs="Arial" w:eastAsia="Arial" w:hAnsi="Arial"/>
          <w:sz w:val="22"/>
          <w:szCs w:val="22"/>
        </w:rPr>
        <w:t xml:space="preserve">Gaussian Symplectic Ensemble (GSE) — quaternion self-dual matrices.</w:t>
      </w:r>
    </w:p>
    <w:p>
      <w:pPr>
        <w:spacing w:after="160" w:line="276"/>
      </w:pPr>
      <w:r>
        <w:rPr>
          <w:rFonts w:ascii="Arial" w:cs="Arial" w:eastAsia="Arial" w:hAnsi="Arial"/>
          <w:sz w:val="22"/>
          <w:szCs w:val="22"/>
        </w:rPr>
        <w:t xml:space="preserve">All three distributions are derived from the Hastings-McLeod solution </w:t>
      </w:r>
      <w:r>
        <w:rPr>
          <w:rFonts w:ascii="Cambria Math" w:cs="Cambria Math" w:eastAsia="Cambria Math" w:hAnsi="Cambria Math"/>
          <w:i/>
          <w:iCs/>
          <w:sz w:val="22"/>
          <w:szCs w:val="22"/>
        </w:rPr>
        <w:t xml:space="preserve">q(s)</w:t>
      </w:r>
      <w:r>
        <w:rPr>
          <w:rFonts w:ascii="Arial" w:cs="Arial" w:eastAsia="Arial" w:hAnsi="Arial"/>
          <w:sz w:val="22"/>
          <w:szCs w:val="22"/>
        </w:rPr>
        <w:t xml:space="preserve"> to the Painlevé II equation:</w:t>
      </w:r>
    </w:p>
    <w:p>
      <w:pPr>
        <w:spacing w:after="120" w:before="120"/>
        <w:jc w:val="center"/>
      </w:pPr>
      <w:r>
        <w:rPr>
          <w:rFonts w:ascii="Cambria Math" w:cs="Cambria Math" w:eastAsia="Cambria Math" w:hAnsi="Cambria Math"/>
          <w:i/>
          <w:iCs/>
          <w:sz w:val="22"/>
          <w:szCs w:val="22"/>
        </w:rPr>
        <w:t xml:space="preserve">q″(s) = s q(s) + 2 q(s)³,    q(s) ~ Ai(s) as s → +∞</w:t>
      </w:r>
    </w:p>
    <w:p>
      <w:pPr>
        <w:spacing w:after="160" w:line="276"/>
      </w:pPr>
      <w:r>
        <w:rPr>
          <w:rFonts w:ascii="Arial" w:cs="Arial" w:eastAsia="Arial" w:hAnsi="Arial"/>
          <w:sz w:val="22"/>
          <w:szCs w:val="22"/>
        </w:rPr>
        <w:t xml:space="preserve">where Ai(s) is the Airy function. Defining </w:t>
      </w:r>
      <w:r>
        <w:rPr>
          <w:rFonts w:ascii="Cambria Math" w:cs="Cambria Math" w:eastAsia="Cambria Math" w:hAnsi="Cambria Math"/>
          <w:i/>
          <w:iCs/>
          <w:sz w:val="22"/>
          <w:szCs w:val="22"/>
        </w:rPr>
        <w:t xml:space="preserve">R(s) = ∫</w:t>
      </w:r>
      <w:r>
        <w:rPr>
          <w:rFonts w:ascii="Cambria Math" w:cs="Cambria Math" w:eastAsia="Cambria Math" w:hAnsi="Cambria Math"/>
          <w:sz w:val="22"/>
          <w:szCs w:val="22"/>
          <w:vertAlign w:val="superscript"/>
        </w:rPr>
        <w:t xml:space="preserve">∞</w:t>
      </w:r>
      <w:r>
        <w:rPr>
          <w:rFonts w:ascii="Cambria Math" w:cs="Cambria Math" w:eastAsia="Cambria Math" w:hAnsi="Cambria Math"/>
          <w:sz w:val="22"/>
          <w:szCs w:val="22"/>
          <w:vertAlign w:val="subscript"/>
        </w:rPr>
        <w:t xml:space="preserve">s</w:t>
      </w:r>
      <w:r>
        <w:rPr>
          <w:rFonts w:ascii="Cambria Math" w:cs="Cambria Math" w:eastAsia="Cambria Math" w:hAnsi="Cambria Math"/>
          <w:i/>
          <w:iCs/>
          <w:sz w:val="22"/>
          <w:szCs w:val="22"/>
        </w:rPr>
        <w:t xml:space="preserve"> q(t)² dt</w:t>
      </w:r>
      <w:r>
        <w:rPr>
          <w:rFonts w:ascii="Arial" w:cs="Arial" w:eastAsia="Arial" w:hAnsi="Arial"/>
          <w:sz w:val="22"/>
          <w:szCs w:val="22"/>
        </w:rPr>
        <w:t xml:space="preserve">, the cumulative distribution functions are:</w:t>
      </w:r>
    </w:p>
    <w:p>
      <w:pPr>
        <w:spacing w:after="60" w:before="60"/>
        <w:jc w:val="center"/>
      </w:pPr>
      <w:r>
        <w:rPr>
          <w:rFonts w:ascii="Cambria Math" w:cs="Cambria Math" w:eastAsia="Cambria Math" w:hAnsi="Cambria Math"/>
          <w:i/>
          <w:iCs/>
          <w:sz w:val="22"/>
          <w:szCs w:val="22"/>
        </w:rPr>
        <w:t xml:space="preserve">F₂(s) = exp( −∫(t − s) q(t)² dt )</w:t>
      </w:r>
    </w:p>
    <w:p>
      <w:pPr>
        <w:spacing w:after="60" w:before="60"/>
        <w:jc w:val="center"/>
      </w:pPr>
      <w:r>
        <w:rPr>
          <w:rFonts w:ascii="Cambria Math" w:cs="Cambria Math" w:eastAsia="Cambria Math" w:hAnsi="Cambria Math"/>
          <w:i/>
          <w:iCs/>
          <w:sz w:val="22"/>
          <w:szCs w:val="22"/>
        </w:rPr>
        <w:t xml:space="preserve">F₁(s) = exp(−½ ∫ q(t) dt) · F₂(s)½</w:t>
      </w:r>
    </w:p>
    <w:p>
      <w:pPr>
        <w:spacing w:after="120" w:before="60"/>
        <w:jc w:val="center"/>
      </w:pPr>
      <w:r>
        <w:rPr>
          <w:rFonts w:ascii="Cambria Math" w:cs="Cambria Math" w:eastAsia="Cambria Math" w:hAnsi="Cambria Math"/>
          <w:i/>
          <w:iCs/>
          <w:sz w:val="22"/>
          <w:szCs w:val="22"/>
        </w:rPr>
        <w:t xml:space="preserve">F₄(s) = cosh(½ ∫ q(t) dt) · F₂(s)½</w:t>
      </w:r>
    </w:p>
    <w:p>
      <w:pPr>
        <w:spacing w:after="160" w:line="276"/>
      </w:pPr>
      <w:r>
        <w:rPr>
          <w:rFonts w:ascii="Arial" w:cs="Arial" w:eastAsia="Arial" w:hAnsi="Arial"/>
          <w:sz w:val="22"/>
          <w:szCs w:val="22"/>
        </w:rPr>
        <w:t xml:space="preserve">The PDFs </w:t>
      </w:r>
      <w:r>
        <w:rPr>
          <w:rFonts w:ascii="Cambria Math" w:cs="Cambria Math" w:eastAsia="Cambria Math" w:hAnsi="Cambria Math"/>
          <w:i/>
          <w:iCs/>
          <w:sz w:val="22"/>
          <w:szCs w:val="22"/>
        </w:rPr>
        <w:t xml:space="preserve">fβ(s) = F′β(s)</w:t>
      </w:r>
      <w:r>
        <w:rPr>
          <w:rFonts w:ascii="Arial" w:cs="Arial" w:eastAsia="Arial" w:hAnsi="Arial"/>
          <w:sz w:val="22"/>
          <w:szCs w:val="22"/>
        </w:rPr>
        <w:t xml:space="preserve"> serve as target wavefunctions via </w:t>
      </w:r>
      <w:r>
        <w:rPr>
          <w:rFonts w:ascii="Cambria Math" w:cs="Cambria Math" w:eastAsia="Cambria Math" w:hAnsi="Cambria Math"/>
          <w:i/>
          <w:iCs/>
          <w:sz w:val="22"/>
          <w:szCs w:val="22"/>
        </w:rPr>
        <w:t xml:space="preserve">ψβ(x) = √(fβ(x))</w:t>
      </w:r>
      <w:r>
        <w:rPr>
          <w:rFonts w:ascii="Arial" w:cs="Arial" w:eastAsia="Arial" w:hAnsi="Arial"/>
          <w:sz w:val="22"/>
          <w:szCs w:val="22"/>
        </w:rPr>
        <w:t xml:space="preserve">, normalized for the quantum register.</w:t>
      </w:r>
    </w:p>
    <w:p>
      <w:pPr>
        <w:pStyle w:val="Heading2"/>
        <w:spacing w:after="160" w:before="280"/>
      </w:pPr>
      <w:r>
        <w:rPr>
          <w:rFonts w:ascii="Arial" w:cs="Arial" w:eastAsia="Arial" w:hAnsi="Arial"/>
          <w:b/>
          <w:bCs/>
          <w:sz w:val="28"/>
          <w:szCs w:val="28"/>
        </w:rPr>
        <w:t xml:space="preserve">2.2 Ansatz Circuits Under Test</w:t>
      </w:r>
    </w:p>
    <w:p>
      <w:pPr>
        <w:spacing w:after="160" w:line="276"/>
      </w:pPr>
      <w:r>
        <w:rPr>
          <w:rFonts w:ascii="Arial" w:cs="Arial" w:eastAsia="Arial" w:hAnsi="Arial"/>
          <w:b/>
          <w:bCs/>
          <w:sz w:val="22"/>
          <w:szCs w:val="22"/>
        </w:rPr>
        <w:t xml:space="preserve">DefaultAnsatz: </w:t>
      </w:r>
      <w:r>
        <w:rPr>
          <w:rFonts w:ascii="Arial" w:cs="Arial" w:eastAsia="Arial" w:hAnsi="Arial"/>
          <w:sz w:val="22"/>
          <w:szCs w:val="22"/>
        </w:rPr>
        <w:t xml:space="preserve">Parameterized RY rotations on all qubits, interleaved with CNOT gates in a linear entanglement pattern. Initial state |0...01⟩ (X gate on the last qubit). Parameters: </w:t>
      </w:r>
      <w:r>
        <w:rPr>
          <w:rFonts w:ascii="Cambria Math" w:cs="Cambria Math" w:eastAsia="Cambria Math" w:hAnsi="Cambria Math"/>
          <w:i/>
          <w:iCs/>
          <w:sz w:val="22"/>
          <w:szCs w:val="22"/>
        </w:rPr>
        <w:t xml:space="preserve">N × L</w:t>
      </w:r>
      <w:r>
        <w:rPr>
          <w:rFonts w:ascii="Arial" w:cs="Arial" w:eastAsia="Arial" w:hAnsi="Arial"/>
          <w:sz w:val="22"/>
          <w:szCs w:val="22"/>
        </w:rPr>
        <w:t xml:space="preserve"> where </w:t>
      </w:r>
      <w:r>
        <w:rPr>
          <w:rFonts w:ascii="Cambria Math" w:cs="Cambria Math" w:eastAsia="Cambria Math" w:hAnsi="Cambria Math"/>
          <w:i/>
          <w:iCs/>
          <w:sz w:val="22"/>
          <w:szCs w:val="22"/>
        </w:rPr>
        <w:t xml:space="preserve">N</w:t>
      </w:r>
      <w:r>
        <w:rPr>
          <w:rFonts w:ascii="Arial" w:cs="Arial" w:eastAsia="Arial" w:hAnsi="Arial"/>
          <w:sz w:val="22"/>
          <w:szCs w:val="22"/>
        </w:rPr>
        <w:t xml:space="preserve"> is the qubit count and </w:t>
      </w:r>
      <w:r>
        <w:rPr>
          <w:rFonts w:ascii="Cambria Math" w:cs="Cambria Math" w:eastAsia="Cambria Math" w:hAnsi="Cambria Math"/>
          <w:i/>
          <w:iCs/>
          <w:sz w:val="22"/>
          <w:szCs w:val="22"/>
        </w:rPr>
        <w:t xml:space="preserve">L</w:t>
      </w:r>
      <w:r>
        <w:rPr>
          <w:rFonts w:ascii="Arial" w:cs="Arial" w:eastAsia="Arial" w:hAnsi="Arial"/>
          <w:sz w:val="22"/>
          <w:szCs w:val="22"/>
        </w:rPr>
        <w:t xml:space="preserve"> is the circuit depth.</w:t>
      </w:r>
    </w:p>
    <w:p>
      <w:pPr>
        <w:spacing w:after="160" w:line="276"/>
      </w:pPr>
      <w:r>
        <w:rPr>
          <w:rFonts w:ascii="Arial" w:cs="Arial" w:eastAsia="Arial" w:hAnsi="Arial"/>
          <w:b/>
          <w:bCs/>
          <w:sz w:val="22"/>
          <w:szCs w:val="22"/>
        </w:rPr>
        <w:t xml:space="preserve">EfficientSU2Ansatz: </w:t>
      </w:r>
      <w:r>
        <w:rPr>
          <w:rFonts w:ascii="Arial" w:cs="Arial" w:eastAsia="Arial" w:hAnsi="Arial"/>
          <w:sz w:val="22"/>
          <w:szCs w:val="22"/>
        </w:rPr>
        <w:t xml:space="preserve">Each layer applies RY then RZ rotations on every qubit, followed by CNOT entanglement. Initial state |0...0⟩. Parameters: </w:t>
      </w:r>
      <w:r>
        <w:rPr>
          <w:rFonts w:ascii="Cambria Math" w:cs="Cambria Math" w:eastAsia="Cambria Math" w:hAnsi="Cambria Math"/>
          <w:i/>
          <w:iCs/>
          <w:sz w:val="22"/>
          <w:szCs w:val="22"/>
        </w:rPr>
        <w:t xml:space="preserve">2N × L</w:t>
      </w:r>
      <w:r>
        <w:rPr>
          <w:rFonts w:ascii="Arial" w:cs="Arial" w:eastAsia="Arial" w:hAnsi="Arial"/>
          <w:sz w:val="22"/>
          <w:szCs w:val="22"/>
        </w:rPr>
        <w:t xml:space="preserve">. The RY+RZ combination generates the full SU(2) group on each qubit.</w:t>
      </w:r>
    </w:p>
    <w:p>
      <w:pPr>
        <w:pStyle w:val="Heading1"/>
        <w:spacing w:after="200" w:before="360"/>
      </w:pPr>
      <w:r>
        <w:rPr>
          <w:rFonts w:ascii="Arial" w:cs="Arial" w:eastAsia="Arial" w:hAnsi="Arial"/>
          <w:b/>
          <w:bCs/>
          <w:sz w:val="32"/>
          <w:szCs w:val="32"/>
        </w:rPr>
        <w:t xml:space="preserve">3. Part I: Analytic Expressibility Argument</w:t>
      </w:r>
    </w:p>
    <w:p>
      <w:pPr>
        <w:spacing w:after="160" w:line="276"/>
      </w:pPr>
      <w:r>
        <w:rPr>
          <w:rFonts w:ascii="Arial" w:cs="Arial" w:eastAsia="Arial" w:hAnsi="Arial"/>
          <w:sz w:val="22"/>
          <w:szCs w:val="22"/>
        </w:rPr>
        <w:t xml:space="preserve">We establish a chain of four lemmas that guarantee, in principle, that both ansatz architectures can represent discretized Tracy-Widom states.</w:t>
      </w:r>
    </w:p>
    <w:p>
      <w:pPr>
        <w:pStyle w:val="Heading2"/>
        <w:spacing w:after="160" w:before="280"/>
      </w:pPr>
      <w:r>
        <w:rPr>
          <w:rFonts w:ascii="Arial" w:cs="Arial" w:eastAsia="Arial" w:hAnsi="Arial"/>
          <w:b/>
          <w:bCs/>
          <w:sz w:val="28"/>
          <w:szCs w:val="28"/>
        </w:rPr>
        <w:t xml:space="preserve">Lemma 1 (Phase Structure)</w:t>
      </w:r>
    </w:p>
    <w:p>
      <w:pPr>
        <w:spacing w:after="160" w:line="276"/>
      </w:pPr>
      <w:r>
        <w:rPr>
          <w:rFonts w:ascii="Arial" w:cs="Arial" w:eastAsia="Arial" w:hAnsi="Arial"/>
          <w:i/>
          <w:iCs/>
          <w:sz w:val="22"/>
          <w:szCs w:val="22"/>
        </w:rPr>
        <w:t xml:space="preserve">The Tracy-Widom wavefunction ψβ(x) = √(fβ(x)) is real and non-negative for all x and all β ∈ {1, 2, 4}. Therefore the target state lies in the real subspace of the 2</w:t>
      </w:r>
      <w:r>
        <w:rPr>
          <w:rFonts w:ascii="Arial" w:cs="Arial" w:eastAsia="Arial" w:hAnsi="Arial"/>
          <w:i/>
          <w:iCs/>
          <w:sz w:val="22"/>
          <w:szCs w:val="22"/>
          <w:vertAlign w:val="superscript"/>
        </w:rPr>
        <w:t xml:space="preserve">N</w:t>
      </w:r>
      <w:r>
        <w:rPr>
          <w:rFonts w:ascii="Arial" w:cs="Arial" w:eastAsia="Arial" w:hAnsi="Arial"/>
          <w:i/>
          <w:iCs/>
          <w:sz w:val="22"/>
          <w:szCs w:val="22"/>
        </w:rPr>
        <w:t xml:space="preserve">-dimensional Hilbert space.</w:t>
      </w:r>
    </w:p>
    <w:p>
      <w:pPr>
        <w:spacing w:after="160" w:line="276"/>
      </w:pPr>
      <w:r>
        <w:rPr>
          <w:rFonts w:ascii="Arial" w:cs="Arial" w:eastAsia="Arial" w:hAnsi="Arial"/>
          <w:b/>
          <w:bCs/>
          <w:sz w:val="22"/>
          <w:szCs w:val="22"/>
        </w:rPr>
        <w:t xml:space="preserve">Proof. </w:t>
      </w:r>
      <w:r>
        <w:rPr>
          <w:rFonts w:ascii="Arial" w:cs="Arial" w:eastAsia="Arial" w:hAnsi="Arial"/>
          <w:sz w:val="22"/>
          <w:szCs w:val="22"/>
        </w:rPr>
        <w:t xml:space="preserve">Since </w:t>
      </w:r>
      <w:r>
        <w:rPr>
          <w:rFonts w:ascii="Cambria Math" w:cs="Cambria Math" w:eastAsia="Cambria Math" w:hAnsi="Cambria Math"/>
          <w:i/>
          <w:iCs/>
          <w:sz w:val="22"/>
          <w:szCs w:val="22"/>
        </w:rPr>
        <w:t xml:space="preserve">fβ</w:t>
      </w:r>
      <w:r>
        <w:rPr>
          <w:rFonts w:ascii="Arial" w:cs="Arial" w:eastAsia="Arial" w:hAnsi="Arial"/>
          <w:sz w:val="22"/>
          <w:szCs w:val="22"/>
        </w:rPr>
        <w:t xml:space="preserve"> is a probability density function, </w:t>
      </w:r>
      <w:r>
        <w:rPr>
          <w:rFonts w:ascii="Cambria Math" w:cs="Cambria Math" w:eastAsia="Cambria Math" w:hAnsi="Cambria Math"/>
          <w:i/>
          <w:iCs/>
          <w:sz w:val="22"/>
          <w:szCs w:val="22"/>
        </w:rPr>
        <w:t xml:space="preserve">fβ(x) ≥ 0</w:t>
      </w:r>
      <w:r>
        <w:rPr>
          <w:rFonts w:ascii="Arial" w:cs="Arial" w:eastAsia="Arial" w:hAnsi="Arial"/>
          <w:sz w:val="22"/>
          <w:szCs w:val="22"/>
        </w:rPr>
        <w:t xml:space="preserve"> for all </w:t>
      </w:r>
      <w:r>
        <w:rPr>
          <w:rFonts w:ascii="Cambria Math" w:cs="Cambria Math" w:eastAsia="Cambria Math" w:hAnsi="Cambria Math"/>
          <w:i/>
          <w:iCs/>
          <w:sz w:val="22"/>
          <w:szCs w:val="22"/>
        </w:rPr>
        <w:t xml:space="preserve">x</w:t>
      </w:r>
      <w:r>
        <w:rPr>
          <w:rFonts w:ascii="Arial" w:cs="Arial" w:eastAsia="Arial" w:hAnsi="Arial"/>
          <w:sz w:val="22"/>
          <w:szCs w:val="22"/>
        </w:rPr>
        <w:t xml:space="preserve">. Therefore </w:t>
      </w:r>
      <w:r>
        <w:rPr>
          <w:rFonts w:ascii="Cambria Math" w:cs="Cambria Math" w:eastAsia="Cambria Math" w:hAnsi="Cambria Math"/>
          <w:i/>
          <w:iCs/>
          <w:sz w:val="22"/>
          <w:szCs w:val="22"/>
        </w:rPr>
        <w:t xml:space="preserve">√(fβ(x)) ≥ 0</w:t>
      </w:r>
      <w:r>
        <w:rPr>
          <w:rFonts w:ascii="Arial" w:cs="Arial" w:eastAsia="Arial" w:hAnsi="Arial"/>
          <w:sz w:val="22"/>
          <w:szCs w:val="22"/>
        </w:rPr>
        <w:t xml:space="preserve"> and is purely real. Verified numerically for all three ensembles on a 2</w:t>
      </w:r>
      <w:r>
        <w:rPr>
          <w:rFonts w:ascii="Arial" w:cs="Arial" w:eastAsia="Arial" w:hAnsi="Arial"/>
          <w:sz w:val="22"/>
          <w:szCs w:val="22"/>
          <w:vertAlign w:val="superscript"/>
        </w:rPr>
        <w:t xml:space="preserve">6</w:t>
      </w:r>
      <w:r>
        <w:rPr>
          <w:rFonts w:ascii="Arial" w:cs="Arial" w:eastAsia="Arial" w:hAnsi="Arial"/>
          <w:sz w:val="22"/>
          <w:szCs w:val="22"/>
        </w:rPr>
        <w:t xml:space="preserve">-point grid: maximum imaginary component &lt; 10</w:t>
      </w:r>
      <w:r>
        <w:rPr>
          <w:rFonts w:ascii="Arial" w:cs="Arial" w:eastAsia="Arial" w:hAnsi="Arial"/>
          <w:sz w:val="22"/>
          <w:szCs w:val="22"/>
          <w:vertAlign w:val="superscript"/>
        </w:rPr>
        <w:t xml:space="preserve">−15</w:t>
      </w:r>
      <w:r>
        <w:rPr>
          <w:rFonts w:ascii="Arial" w:cs="Arial" w:eastAsia="Arial" w:hAnsi="Arial"/>
          <w:sz w:val="22"/>
          <w:szCs w:val="22"/>
        </w:rPr>
        <w:t xml:space="preserve">. □</w:t>
      </w:r>
    </w:p>
    <w:p>
      <w:pPr>
        <w:pStyle w:val="Heading2"/>
        <w:spacing w:after="160" w:before="280"/>
      </w:pPr>
      <w:r>
        <w:rPr>
          <w:rFonts w:ascii="Arial" w:cs="Arial" w:eastAsia="Arial" w:hAnsi="Arial"/>
          <w:b/>
          <w:bCs/>
          <w:sz w:val="28"/>
          <w:szCs w:val="28"/>
        </w:rPr>
        <w:t xml:space="preserve">Lemma 2 (RY Universality Over Real States)</w:t>
      </w:r>
    </w:p>
    <w:p>
      <w:pPr>
        <w:spacing w:after="160" w:line="276"/>
      </w:pPr>
      <w:r>
        <w:rPr>
          <w:rFonts w:ascii="Arial" w:cs="Arial" w:eastAsia="Arial" w:hAnsi="Arial"/>
          <w:i/>
          <w:iCs/>
          <w:sz w:val="22"/>
          <w:szCs w:val="22"/>
        </w:rPr>
        <w:t xml:space="preserve">A circuit composed of RY(θ) single-qubit rotations and CNOT entangling gates is universal over the real subspace ℝ</w:t>
      </w:r>
      <w:r>
        <w:rPr>
          <w:rFonts w:ascii="Arial" w:cs="Arial" w:eastAsia="Arial" w:hAnsi="Arial"/>
          <w:i/>
          <w:iCs/>
          <w:sz w:val="22"/>
          <w:szCs w:val="22"/>
          <w:vertAlign w:val="superscript"/>
        </w:rPr>
        <w:t xml:space="preserve">2ⁿ</w:t>
      </w:r>
      <w:r>
        <w:rPr>
          <w:rFonts w:ascii="Arial" w:cs="Arial" w:eastAsia="Arial" w:hAnsi="Arial"/>
          <w:i/>
          <w:iCs/>
          <w:sz w:val="22"/>
          <w:szCs w:val="22"/>
        </w:rPr>
        <w:t xml:space="preserve"> ⊂ ℂ</w:t>
      </w:r>
      <w:r>
        <w:rPr>
          <w:rFonts w:ascii="Arial" w:cs="Arial" w:eastAsia="Arial" w:hAnsi="Arial"/>
          <w:i/>
          <w:iCs/>
          <w:sz w:val="22"/>
          <w:szCs w:val="22"/>
          <w:vertAlign w:val="superscript"/>
        </w:rPr>
        <w:t xml:space="preserve">2ⁿ</w:t>
      </w:r>
      <w:r>
        <w:rPr>
          <w:rFonts w:ascii="Arial" w:cs="Arial" w:eastAsia="Arial" w:hAnsi="Arial"/>
          <w:i/>
          <w:iCs/>
          <w:sz w:val="22"/>
          <w:szCs w:val="22"/>
        </w:rPr>
        <w:t xml:space="preserve">. Any real unit vector can be prepared with at most 2</w:t>
      </w:r>
      <w:r>
        <w:rPr>
          <w:rFonts w:ascii="Arial" w:cs="Arial" w:eastAsia="Arial" w:hAnsi="Arial"/>
          <w:i/>
          <w:iCs/>
          <w:sz w:val="22"/>
          <w:szCs w:val="22"/>
          <w:vertAlign w:val="superscript"/>
        </w:rPr>
        <w:t xml:space="preserve">N</w:t>
      </w:r>
      <w:r>
        <w:rPr>
          <w:rFonts w:ascii="Arial" w:cs="Arial" w:eastAsia="Arial" w:hAnsi="Arial"/>
          <w:i/>
          <w:iCs/>
          <w:sz w:val="22"/>
          <w:szCs w:val="22"/>
        </w:rPr>
        <w:t xml:space="preserve"> − 1 CNOT gates and O(2</w:t>
      </w:r>
      <w:r>
        <w:rPr>
          <w:rFonts w:ascii="Arial" w:cs="Arial" w:eastAsia="Arial" w:hAnsi="Arial"/>
          <w:i/>
          <w:iCs/>
          <w:sz w:val="22"/>
          <w:szCs w:val="22"/>
          <w:vertAlign w:val="superscript"/>
        </w:rPr>
        <w:t xml:space="preserve">N</w:t>
      </w:r>
      <w:r>
        <w:rPr>
          <w:rFonts w:ascii="Arial" w:cs="Arial" w:eastAsia="Arial" w:hAnsi="Arial"/>
          <w:i/>
          <w:iCs/>
          <w:sz w:val="22"/>
          <w:szCs w:val="22"/>
        </w:rPr>
        <w:t xml:space="preserve">) RY rotations.</w:t>
      </w:r>
    </w:p>
    <w:p>
      <w:pPr>
        <w:spacing w:after="160" w:line="276"/>
      </w:pPr>
      <w:r>
        <w:rPr>
          <w:rFonts w:ascii="Arial" w:cs="Arial" w:eastAsia="Arial" w:hAnsi="Arial"/>
          <w:b/>
          <w:bCs/>
          <w:sz w:val="22"/>
          <w:szCs w:val="22"/>
        </w:rPr>
        <w:t xml:space="preserve">Proof. </w:t>
      </w:r>
      <w:r>
        <w:rPr>
          <w:rFonts w:ascii="Arial" w:cs="Arial" w:eastAsia="Arial" w:hAnsi="Arial"/>
          <w:sz w:val="22"/>
          <w:szCs w:val="22"/>
        </w:rPr>
        <w:t xml:space="preserve">RY(θ) generates SO(2) on each qubit. CNOT provides the two-qubit entangling interaction. Together they generate the full real orthogonal group SO(2</w:t>
      </w:r>
      <w:r>
        <w:rPr>
          <w:rFonts w:ascii="Arial" w:cs="Arial" w:eastAsia="Arial" w:hAnsi="Arial"/>
          <w:sz w:val="22"/>
          <w:szCs w:val="22"/>
          <w:vertAlign w:val="superscript"/>
        </w:rPr>
        <w:t xml:space="preserve">N</w:t>
      </w:r>
      <w:r>
        <w:rPr>
          <w:rFonts w:ascii="Arial" w:cs="Arial" w:eastAsia="Arial" w:hAnsi="Arial"/>
          <w:sz w:val="22"/>
          <w:szCs w:val="22"/>
        </w:rPr>
        <w:t xml:space="preserve">) acting on the computational basis. See Vatan &amp; Williams, PRA 69, 032315 (2004); Shende et al., PRA 69, 062321 (2004). □</w:t>
      </w:r>
    </w:p>
    <w:p>
      <w:pPr>
        <w:pStyle w:val="Heading2"/>
        <w:spacing w:after="160" w:before="280"/>
      </w:pPr>
      <w:r>
        <w:rPr>
          <w:rFonts w:ascii="Arial" w:cs="Arial" w:eastAsia="Arial" w:hAnsi="Arial"/>
          <w:b/>
          <w:bCs/>
          <w:sz w:val="28"/>
          <w:szCs w:val="28"/>
        </w:rPr>
        <w:t xml:space="preserve">Lemma 3 (SU(2) Universality)</w:t>
      </w:r>
    </w:p>
    <w:p>
      <w:pPr>
        <w:spacing w:after="160" w:line="276"/>
      </w:pPr>
      <w:r>
        <w:rPr>
          <w:rFonts w:ascii="Arial" w:cs="Arial" w:eastAsia="Arial" w:hAnsi="Arial"/>
          <w:i/>
          <w:iCs/>
          <w:sz w:val="22"/>
          <w:szCs w:val="22"/>
        </w:rPr>
        <w:t xml:space="preserve">The EfficientSU2Ansatz (RY + RZ + CNOT) generates the full unitary group U(2</w:t>
      </w:r>
      <w:r>
        <w:rPr>
          <w:rFonts w:ascii="Arial" w:cs="Arial" w:eastAsia="Arial" w:hAnsi="Arial"/>
          <w:i/>
          <w:iCs/>
          <w:sz w:val="22"/>
          <w:szCs w:val="22"/>
          <w:vertAlign w:val="superscript"/>
        </w:rPr>
        <w:t xml:space="preserve">N</w:t>
      </w:r>
      <w:r>
        <w:rPr>
          <w:rFonts w:ascii="Arial" w:cs="Arial" w:eastAsia="Arial" w:hAnsi="Arial"/>
          <w:i/>
          <w:iCs/>
          <w:sz w:val="22"/>
          <w:szCs w:val="22"/>
        </w:rPr>
        <w:t xml:space="preserve">) for sufficient depth. Therefore it can prepare any normalized state, including ψβ.</w:t>
      </w:r>
    </w:p>
    <w:p>
      <w:pPr>
        <w:spacing w:after="160" w:line="276"/>
      </w:pPr>
      <w:r>
        <w:rPr>
          <w:rFonts w:ascii="Arial" w:cs="Arial" w:eastAsia="Arial" w:hAnsi="Arial"/>
          <w:b/>
          <w:bCs/>
          <w:sz w:val="22"/>
          <w:szCs w:val="22"/>
        </w:rPr>
        <w:t xml:space="preserve">Proof. </w:t>
      </w:r>
      <w:r>
        <w:rPr>
          <w:rFonts w:ascii="Arial" w:cs="Arial" w:eastAsia="Arial" w:hAnsi="Arial"/>
          <w:sz w:val="22"/>
          <w:szCs w:val="22"/>
        </w:rPr>
        <w:t xml:space="preserve">The set {RY, RZ} generates all of SU(2), since RY and RZ do not commute and their Lie algebra closures span su(2). Combined with CNOT, this constitutes a universal gate set for SU(2</w:t>
      </w:r>
      <w:r>
        <w:rPr>
          <w:rFonts w:ascii="Arial" w:cs="Arial" w:eastAsia="Arial" w:hAnsi="Arial"/>
          <w:sz w:val="22"/>
          <w:szCs w:val="22"/>
          <w:vertAlign w:val="superscript"/>
        </w:rPr>
        <w:t xml:space="preserve">N</w:t>
      </w:r>
      <w:r>
        <w:rPr>
          <w:rFonts w:ascii="Arial" w:cs="Arial" w:eastAsia="Arial" w:hAnsi="Arial"/>
          <w:sz w:val="22"/>
          <w:szCs w:val="22"/>
        </w:rPr>
        <w:t xml:space="preserve">). See Barenco et al., PRA 52, 3457 (1995). □</w:t>
      </w:r>
    </w:p>
    <w:p>
      <w:pPr>
        <w:pStyle w:val="Heading2"/>
        <w:spacing w:after="160" w:before="280"/>
      </w:pPr>
      <w:r>
        <w:rPr>
          <w:rFonts w:ascii="Arial" w:cs="Arial" w:eastAsia="Arial" w:hAnsi="Arial"/>
          <w:b/>
          <w:bCs/>
          <w:sz w:val="28"/>
          <w:szCs w:val="28"/>
        </w:rPr>
        <w:t xml:space="preserve">Lemma 4 (Parameter Sufficiency)</w:t>
      </w:r>
    </w:p>
    <w:p>
      <w:pPr>
        <w:spacing w:after="160" w:line="276"/>
      </w:pPr>
      <w:r>
        <w:rPr>
          <w:rFonts w:ascii="Arial" w:cs="Arial" w:eastAsia="Arial" w:hAnsi="Arial"/>
          <w:i/>
          <w:iCs/>
          <w:sz w:val="22"/>
          <w:szCs w:val="22"/>
        </w:rPr>
        <w:t xml:space="preserve">For the discretized TW wavefunction on N qubits (2</w:t>
      </w:r>
      <w:r>
        <w:rPr>
          <w:rFonts w:ascii="Arial" w:cs="Arial" w:eastAsia="Arial" w:hAnsi="Arial"/>
          <w:i/>
          <w:iCs/>
          <w:sz w:val="22"/>
          <w:szCs w:val="22"/>
          <w:vertAlign w:val="superscript"/>
        </w:rPr>
        <w:t xml:space="preserve">N</w:t>
      </w:r>
      <w:r>
        <w:rPr>
          <w:rFonts w:ascii="Arial" w:cs="Arial" w:eastAsia="Arial" w:hAnsi="Arial"/>
          <w:i/>
          <w:iCs/>
          <w:sz w:val="22"/>
          <w:szCs w:val="22"/>
        </w:rPr>
        <w:t xml:space="preserve"> grid points), the number of free real parameters needed to specify the state is 2</w:t>
      </w:r>
      <w:r>
        <w:rPr>
          <w:rFonts w:ascii="Arial" w:cs="Arial" w:eastAsia="Arial" w:hAnsi="Arial"/>
          <w:i/>
          <w:iCs/>
          <w:sz w:val="22"/>
          <w:szCs w:val="22"/>
          <w:vertAlign w:val="superscript"/>
        </w:rPr>
        <w:t xml:space="preserve">N</w:t>
      </w:r>
      <w:r>
        <w:rPr>
          <w:rFonts w:ascii="Arial" w:cs="Arial" w:eastAsia="Arial" w:hAnsi="Arial"/>
          <w:i/>
          <w:iCs/>
          <w:sz w:val="22"/>
          <w:szCs w:val="22"/>
        </w:rPr>
        <w:t xml:space="preserve"> − 1 (real state, by Lemma 1).</w:t>
      </w:r>
    </w:p>
    <w:p>
      <w:pPr>
        <w:spacing w:after="160" w:line="276"/>
      </w:pPr>
      <w:r>
        <w:rPr>
          <w:rFonts w:ascii="Arial" w:cs="Arial" w:eastAsia="Arial" w:hAnsi="Arial"/>
          <w:b/>
          <w:bCs/>
          <w:sz w:val="22"/>
          <w:szCs w:val="22"/>
        </w:rPr>
        <w:t xml:space="preserve">(a) DefaultAnsatz, depth L: </w:t>
      </w:r>
      <w:r>
        <w:rPr>
          <w:rFonts w:ascii="Arial" w:cs="Arial" w:eastAsia="Arial" w:hAnsi="Arial"/>
          <w:sz w:val="22"/>
          <w:szCs w:val="22"/>
        </w:rPr>
        <w:t xml:space="preserve">n_params = N × L. Sufficient when N·L ≥ 2</w:t>
      </w:r>
      <w:r>
        <w:rPr>
          <w:rFonts w:ascii="Arial" w:cs="Arial" w:eastAsia="Arial" w:hAnsi="Arial"/>
          <w:sz w:val="22"/>
          <w:szCs w:val="22"/>
          <w:vertAlign w:val="superscript"/>
        </w:rPr>
        <w:t xml:space="preserve">N</w:t>
      </w:r>
      <w:r>
        <w:rPr>
          <w:rFonts w:ascii="Arial" w:cs="Arial" w:eastAsia="Arial" w:hAnsi="Arial"/>
          <w:sz w:val="22"/>
          <w:szCs w:val="22"/>
        </w:rPr>
        <w:t xml:space="preserve"> − 1.</w:t>
      </w:r>
    </w:p>
    <w:p>
      <w:pPr>
        <w:spacing w:after="160" w:line="276"/>
      </w:pPr>
      <w:r>
        <w:rPr>
          <w:rFonts w:ascii="Arial" w:cs="Arial" w:eastAsia="Arial" w:hAnsi="Arial"/>
          <w:b/>
          <w:bCs/>
          <w:sz w:val="22"/>
          <w:szCs w:val="22"/>
        </w:rPr>
        <w:t xml:space="preserve">(b) EfficientSU2Ansatz, depth L: </w:t>
      </w:r>
      <w:r>
        <w:rPr>
          <w:rFonts w:ascii="Arial" w:cs="Arial" w:eastAsia="Arial" w:hAnsi="Arial"/>
          <w:sz w:val="22"/>
          <w:szCs w:val="22"/>
        </w:rPr>
        <w:t xml:space="preserve">n_params = 2N × L. Sufficient when 2NL ≥ 2</w:t>
      </w:r>
      <w:r>
        <w:rPr>
          <w:rFonts w:ascii="Arial" w:cs="Arial" w:eastAsia="Arial" w:hAnsi="Arial"/>
          <w:sz w:val="22"/>
          <w:szCs w:val="22"/>
          <w:vertAlign w:val="superscript"/>
        </w:rPr>
        <w:t xml:space="preserve">N+1</w:t>
      </w:r>
      <w:r>
        <w:rPr>
          <w:rFonts w:ascii="Arial" w:cs="Arial" w:eastAsia="Arial" w:hAnsi="Arial"/>
          <w:sz w:val="22"/>
          <w:szCs w:val="22"/>
        </w:rPr>
        <w:t xml:space="preserve"> − 2.</w:t>
      </w:r>
    </w:p>
    <w:p>
      <w:pPr>
        <w:spacing w:after="160" w:line="276"/>
      </w:pPr>
      <w:r>
        <w:rPr>
          <w:rFonts w:ascii="Arial" w:cs="Arial" w:eastAsia="Arial" w:hAnsi="Arial"/>
          <w:sz w:val="22"/>
          <w:szCs w:val="22"/>
        </w:rPr>
        <w:t xml:space="preserve">Both require exponential depth for a fully generic state. However, Tracy-Widom wavefunctions are highly structured (smooth, single-peaked, rapidly decaying tails), so empirically far fewer parameters suffice — confirmed in Part II.</w:t>
      </w:r>
    </w:p>
    <w:p>
      <w:pPr>
        <w:spacing w:after="120" w:before="200"/>
      </w:pPr>
      <w:r>
        <w:rPr>
          <w:rFonts w:ascii="Arial" w:cs="Arial" w:eastAsia="Arial" w:hAnsi="Arial"/>
          <w:b/>
          <w:bCs/>
          <w:sz w:val="22"/>
          <w:szCs w:val="22"/>
        </w:rPr>
        <w:t xml:space="preserve">Parameter sufficiency table: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000"/>
        <w:gridCol w:w="1000"/>
        <w:gridCol w:w="1400"/>
        <w:gridCol w:w="1200"/>
        <w:gridCol w:w="1400"/>
        <w:gridCol w:w="1200"/>
      </w:tblGrid>
      <w:tr>
        <w:tc>
          <w:tcPr>
            <w:tcW w:type="dxa" w:w="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DOF</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 p</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Suff?</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SU2 p</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Suff?</w:t>
            </w:r>
          </w:p>
        </w:tc>
      </w:tr>
      <w:tr>
        <w:tc>
          <w:tcPr>
            <w:tcW w:type="dxa" w:w="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4</w:t>
            </w:r>
          </w:p>
        </w:tc>
        <w:tc>
          <w:tcPr>
            <w:tcW w:type="dxa" w:w="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8</w:t>
            </w:r>
          </w:p>
        </w:tc>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15</w:t>
            </w:r>
          </w:p>
        </w:tc>
        <w:tc>
          <w:tcPr>
            <w:tcW w:type="dxa" w:w="14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32</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Yes</w:t>
            </w:r>
          </w:p>
        </w:tc>
        <w:tc>
          <w:tcPr>
            <w:tcW w:type="dxa" w:w="14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64</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Yes</w:t>
            </w:r>
          </w:p>
        </w:tc>
      </w:tr>
      <w:tr>
        <w:tc>
          <w:tcPr>
            <w:tcW w:type="dxa" w:w="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15</w:t>
            </w:r>
          </w:p>
        </w:tc>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48</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Yes</w:t>
            </w:r>
          </w:p>
        </w:tc>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96</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Yes</w:t>
            </w:r>
          </w:p>
        </w:tc>
      </w:tr>
      <w:tr>
        <w:tc>
          <w:tcPr>
            <w:tcW w:type="dxa" w:w="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4</w:t>
            </w:r>
          </w:p>
        </w:tc>
        <w:tc>
          <w:tcPr>
            <w:tcW w:type="dxa" w:w="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15</w:t>
            </w:r>
          </w:p>
        </w:tc>
        <w:tc>
          <w:tcPr>
            <w:tcW w:type="dxa" w:w="14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64</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Yes</w:t>
            </w:r>
          </w:p>
        </w:tc>
        <w:tc>
          <w:tcPr>
            <w:tcW w:type="dxa" w:w="14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128</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Yes</w:t>
            </w:r>
          </w:p>
        </w:tc>
      </w:tr>
      <w:tr>
        <w:tc>
          <w:tcPr>
            <w:tcW w:type="dxa" w:w="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8</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32</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31</w:t>
            </w:r>
          </w:p>
        </w:tc>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40</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Yes</w:t>
            </w:r>
          </w:p>
        </w:tc>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80</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Yes</w:t>
            </w:r>
          </w:p>
        </w:tc>
      </w:tr>
      <w:tr>
        <w:tc>
          <w:tcPr>
            <w:tcW w:type="dxa" w:w="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5</w:t>
            </w:r>
          </w:p>
        </w:tc>
        <w:tc>
          <w:tcPr>
            <w:tcW w:type="dxa" w:w="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10</w:t>
            </w:r>
          </w:p>
        </w:tc>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32</w:t>
            </w:r>
          </w:p>
        </w:tc>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31</w:t>
            </w:r>
          </w:p>
        </w:tc>
        <w:tc>
          <w:tcPr>
            <w:tcW w:type="dxa" w:w="14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50</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Yes</w:t>
            </w:r>
          </w:p>
        </w:tc>
        <w:tc>
          <w:tcPr>
            <w:tcW w:type="dxa" w:w="14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100</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Yes</w:t>
            </w:r>
          </w:p>
        </w:tc>
      </w:tr>
      <w:tr>
        <w:tc>
          <w:tcPr>
            <w:tcW w:type="dxa" w:w="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32</w:t>
            </w:r>
          </w:p>
        </w:tc>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31</w:t>
            </w:r>
          </w:p>
        </w:tc>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60</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Yes</w:t>
            </w:r>
          </w:p>
        </w:tc>
        <w:tc>
          <w:tcPr>
            <w:tcW w:type="dxa" w:w="14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120</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Yes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Corollary</w:t>
      </w:r>
    </w:p>
    <w:p>
      <w:pPr>
        <w:spacing w:after="160" w:line="276"/>
      </w:pPr>
      <w:r>
        <w:rPr>
          <w:rFonts w:ascii="Arial" w:cs="Arial" w:eastAsia="Arial" w:hAnsi="Arial"/>
          <w:sz w:val="22"/>
          <w:szCs w:val="22"/>
        </w:rPr>
        <w:t xml:space="preserve">Both the DefaultAnsatz and EfficientSU2Ansatz can, in principle, prepare discretized Tracy-Widom states for any β ∈ {1, 2, 4}. The DefaultAnsatz suffices because the target is purely real (Lemma 1) and RY+CNOT is universal over real states (Lemma 2). The EfficientSU2Ansatz also suffices via full unitary universality (Lemma 3).</w:t>
      </w:r>
    </w:p>
    <w:p>
      <w:r>
        <w:br w:type="page"/>
      </w:r>
    </w:p>
    <w:p>
      <w:pPr>
        <w:pStyle w:val="Heading1"/>
        <w:spacing w:after="200" w:before="360"/>
      </w:pPr>
      <w:r>
        <w:rPr>
          <w:rFonts w:ascii="Arial" w:cs="Arial" w:eastAsia="Arial" w:hAnsi="Arial"/>
          <w:b/>
          <w:bCs/>
          <w:sz w:val="32"/>
          <w:szCs w:val="32"/>
        </w:rPr>
        <w:t xml:space="preserve">4. Part II: Numerical Verification</w:t>
      </w:r>
    </w:p>
    <w:p>
      <w:pPr>
        <w:spacing w:after="160" w:line="276"/>
      </w:pPr>
      <w:r>
        <w:rPr>
          <w:rFonts w:ascii="Arial" w:cs="Arial" w:eastAsia="Arial" w:hAnsi="Arial"/>
          <w:sz w:val="22"/>
          <w:szCs w:val="22"/>
        </w:rPr>
        <w:t xml:space="preserve">We discretize each TWβ onto a 2</w:t>
      </w:r>
      <w:r>
        <w:rPr>
          <w:rFonts w:ascii="Arial" w:cs="Arial" w:eastAsia="Arial" w:hAnsi="Arial"/>
          <w:sz w:val="22"/>
          <w:szCs w:val="22"/>
          <w:vertAlign w:val="superscript"/>
        </w:rPr>
        <w:t xml:space="preserve">N</w:t>
      </w:r>
      <w:r>
        <w:rPr>
          <w:rFonts w:ascii="Arial" w:cs="Arial" w:eastAsia="Arial" w:hAnsi="Arial"/>
          <w:sz w:val="22"/>
          <w:szCs w:val="22"/>
        </w:rPr>
        <w:t xml:space="preserve"> grid over </w:t>
      </w:r>
      <w:r>
        <w:rPr>
          <w:rFonts w:ascii="Cambria Math" w:cs="Cambria Math" w:eastAsia="Cambria Math" w:hAnsi="Cambria Math"/>
          <w:i/>
          <w:iCs/>
          <w:sz w:val="22"/>
          <w:szCs w:val="22"/>
        </w:rPr>
        <w:t xml:space="preserve">s ∈ [−8, 5]</w:t>
      </w:r>
      <w:r>
        <w:rPr>
          <w:rFonts w:ascii="Arial" w:cs="Arial" w:eastAsia="Arial" w:hAnsi="Arial"/>
          <w:sz w:val="22"/>
          <w:szCs w:val="22"/>
        </w:rPr>
        <w:t xml:space="preserve"> and use multi-start Nelder-Mead optimization (5 random restarts, 2000–3000 iterations each) to maximize the state fidelity </w:t>
      </w:r>
      <w:r>
        <w:rPr>
          <w:rFonts w:ascii="Cambria Math" w:cs="Cambria Math" w:eastAsia="Cambria Math" w:hAnsi="Cambria Math"/>
          <w:i/>
          <w:iCs/>
          <w:sz w:val="22"/>
          <w:szCs w:val="22"/>
        </w:rPr>
        <w:t xml:space="preserve">F = |⟨ψ_target | ψ_ansatz⟩|²</w:t>
      </w:r>
      <w:r>
        <w:rPr>
          <w:rFonts w:ascii="Arial" w:cs="Arial" w:eastAsia="Arial" w:hAnsi="Arial"/>
          <w:sz w:val="22"/>
          <w:szCs w:val="22"/>
        </w:rPr>
        <w:t xml:space="preserve">. The threshold for success is </w:t>
      </w:r>
      <w:r>
        <w:rPr>
          <w:rFonts w:ascii="Cambria Math" w:cs="Cambria Math" w:eastAsia="Cambria Math" w:hAnsi="Cambria Math"/>
          <w:i/>
          <w:iCs/>
          <w:sz w:val="22"/>
          <w:szCs w:val="22"/>
        </w:rPr>
        <w:t xml:space="preserve">F &gt; 0.99</w:t>
      </w:r>
      <w:r>
        <w:rPr>
          <w:rFonts w:ascii="Arial" w:cs="Arial" w:eastAsia="Arial" w:hAnsi="Arial"/>
          <w:sz w:val="22"/>
          <w:szCs w:val="22"/>
        </w:rPr>
        <w:t xml:space="preserve">.</w:t>
      </w:r>
    </w:p>
    <w:p>
      <w:pPr>
        <w:pStyle w:val="Heading2"/>
        <w:spacing w:after="160" w:before="280"/>
      </w:pPr>
      <w:r>
        <w:rPr>
          <w:rFonts w:ascii="Arial" w:cs="Arial" w:eastAsia="Arial" w:hAnsi="Arial"/>
          <w:b/>
          <w:bCs/>
          <w:sz w:val="28"/>
          <w:szCs w:val="28"/>
        </w:rPr>
        <w:t xml:space="preserve">4.1 Results: N = 4 Qubits (dim = 16)</w:t>
      </w:r>
    </w:p>
    <w:p>
      <w:pPr>
        <w:spacing w:after="160" w:line="276"/>
      </w:pPr>
      <w:r>
        <w:rPr>
          <w:rFonts w:ascii="Arial" w:cs="Arial" w:eastAsia="Arial" w:hAnsi="Arial"/>
          <w:sz w:val="22"/>
          <w:szCs w:val="22"/>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700"/>
        <w:gridCol w:w="900"/>
        <w:gridCol w:w="1700"/>
        <w:gridCol w:w="900"/>
      </w:tblGrid>
      <w:tr>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 F</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SU2 F</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8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 8</w:t>
            </w:r>
          </w:p>
        </w:tc>
        <w:tc>
          <w:tcPr>
            <w:tcW w:type="dxa" w:w="15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TW₁ (GOE)</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1.000000</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0.961172</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 8</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TW₂ (GUE)</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0.999999</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0.977321</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 8</w:t>
            </w:r>
          </w:p>
        </w:tc>
        <w:tc>
          <w:tcPr>
            <w:tcW w:type="dxa" w:w="15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TW₄ (GSE)</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1.000000</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0.981835</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TW₁ (GOE)</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0.999999</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0.882549</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15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TW₂ (GUE)</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0.999998</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0.851692</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TW₄ (GSE)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1.000000</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0.863990</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5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TW₁ (GOE)</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0.999985</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0.700603</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TW₂ (GUE)</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0.999998</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0.671136</w:t>
            </w:r>
          </w:p>
        </w:tc>
        <w:tc>
          <w:tcPr>
            <w:tcW w:type="dxa" w:w="9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C0392B"/>
                <w:sz w:val="20"/>
                <w:szCs w:val="20"/>
              </w:rPr>
              <w:t xml:space="preserve">fail</w:t>
            </w:r>
          </w:p>
        </w:tc>
      </w:tr>
      <w:tr>
        <w:tc>
          <w:tcPr>
            <w:tcW w:type="dxa" w:w="8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16</w:t>
            </w:r>
          </w:p>
        </w:tc>
        <w:tc>
          <w:tcPr>
            <w:tcW w:type="dxa" w:w="15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TW₄ (GSE)</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0.999996</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c>
          <w:tcPr>
            <w:tcW w:type="dxa" w:w="17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0.810784</w:t>
            </w:r>
          </w:p>
        </w:tc>
        <w:tc>
          <w:tcPr>
            <w:tcW w:type="dxa" w:w="9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C0392B"/>
                <w:sz w:val="20"/>
                <w:szCs w:val="20"/>
              </w:rPr>
              <w:t xml:space="preserve">fail</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The DefaultAnsatz achieves </w:t>
      </w:r>
      <w:r>
        <w:rPr>
          <w:rFonts w:ascii="Cambria Math" w:cs="Cambria Math" w:eastAsia="Cambria Math" w:hAnsi="Cambria Math"/>
          <w:i/>
          <w:iCs/>
          <w:sz w:val="22"/>
          <w:szCs w:val="22"/>
        </w:rPr>
        <w:t xml:space="preserve">F ≈ 1.0</w:t>
      </w:r>
      <w:r>
        <w:rPr>
          <w:rFonts w:ascii="Arial" w:cs="Arial" w:eastAsia="Arial" w:hAnsi="Arial"/>
          <w:sz w:val="22"/>
          <w:szCs w:val="22"/>
        </w:rPr>
        <w:t xml:space="preserve"> across all depths and all three TW distributions. The EfficientSU2Ansatz fails to reach the 0.99 threshold, and its performance </w:t>
      </w:r>
      <w:r>
        <w:rPr>
          <w:rFonts w:ascii="Arial" w:cs="Arial" w:eastAsia="Arial" w:hAnsi="Arial"/>
          <w:i/>
          <w:iCs/>
          <w:sz w:val="22"/>
          <w:szCs w:val="22"/>
        </w:rPr>
        <w:t xml:space="preserve">degrades</w:t>
      </w:r>
      <w:r>
        <w:rPr>
          <w:rFonts w:ascii="Arial" w:cs="Arial" w:eastAsia="Arial" w:hAnsi="Arial"/>
          <w:sz w:val="22"/>
          <w:szCs w:val="22"/>
        </w:rPr>
        <w:t xml:space="preserve"> with increasing depth — a signature of optimization landscape difficulty, not expressibility failure.</w:t>
      </w:r>
    </w:p>
    <w:p>
      <w:pPr>
        <w:pStyle w:val="Heading2"/>
        <w:spacing w:after="160" w:before="280"/>
      </w:pPr>
      <w:r>
        <w:rPr>
          <w:rFonts w:ascii="Arial" w:cs="Arial" w:eastAsia="Arial" w:hAnsi="Arial"/>
          <w:b/>
          <w:bCs/>
          <w:sz w:val="28"/>
          <w:szCs w:val="28"/>
        </w:rPr>
        <w:t xml:space="preserve">4.2 Results: N = 5 Qubits (dim = 32)</w:t>
      </w:r>
    </w:p>
    <w:p>
      <w:pPr>
        <w:spacing w:after="160" w:line="276"/>
      </w:pPr>
      <w:r>
        <w:rPr>
          <w:rFonts w:ascii="Arial" w:cs="Arial" w:eastAsia="Arial" w:hAnsi="Arial"/>
          <w:sz w:val="22"/>
          <w:szCs w:val="22"/>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1200"/>
      </w:tblGrid>
      <w:tr>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 F</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 8</w:t>
            </w:r>
          </w:p>
        </w:tc>
        <w:tc>
          <w:tcPr>
            <w:tcW w:type="dxa" w:w="2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TW₁ (GOE)</w:t>
            </w:r>
          </w:p>
        </w:tc>
        <w:tc>
          <w:tcPr>
            <w:tcW w:type="dxa" w:w="2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0.993722</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 8</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TW₂ (GUE)</w:t>
            </w:r>
          </w:p>
        </w:tc>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0.992061</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 8</w:t>
            </w:r>
          </w:p>
        </w:tc>
        <w:tc>
          <w:tcPr>
            <w:tcW w:type="dxa" w:w="2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TW₄ (GSE)</w:t>
            </w:r>
          </w:p>
        </w:tc>
        <w:tc>
          <w:tcPr>
            <w:tcW w:type="dxa" w:w="2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0.991708</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TW₁ (GOE)</w:t>
            </w:r>
          </w:p>
        </w:tc>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0.997610</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20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TW₂ (GUE)</w:t>
            </w:r>
          </w:p>
        </w:tc>
        <w:tc>
          <w:tcPr>
            <w:tcW w:type="dxa" w:w="2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val="false"/>
                <w:bCs w:val="false"/>
                <w:color w:val="000000"/>
                <w:sz w:val="20"/>
                <w:szCs w:val="20"/>
              </w:rPr>
              <w:t xml:space="preserve">0.990767</w:t>
            </w:r>
          </w:p>
        </w:tc>
        <w:tc>
          <w:tcPr>
            <w:tcW w:type="dxa" w:w="1200"/>
            <w:tcBorders>
              <w:top w:val="single" w:color="AAAAAA" w:sz="1"/>
              <w:left w:val="single" w:color="AAAAAA" w:sz="1"/>
              <w:bottom w:val="single" w:color="AAAAAA" w:sz="1"/>
              <w:right w:val="single" w:color="AAAAAA" w:sz="1"/>
            </w:tcBorders>
            <w:shd w:fill="F5F8FB" w:val="clear"/>
            <w:tcMar>
              <w:top w:type="dxa" w:w="50"/>
              <w:left w:type="dxa" w:w="100"/>
              <w:bottom w:type="dxa" w:w="50"/>
              <w:right w:type="dxa" w:w="100"/>
            </w:tcMar>
          </w:tcPr>
          <w:p>
            <w:r>
              <w:rPr>
                <w:rFonts w:ascii="Arial" w:cs="Arial" w:eastAsia="Arial" w:hAnsi="Arial"/>
                <w:b/>
                <w:bCs/>
                <w:color w:val="1A7A2E"/>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12</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TW₄ (GSE)</w:t>
            </w:r>
          </w:p>
        </w:tc>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val="false"/>
                <w:bCs w:val="false"/>
                <w:color w:val="000000"/>
                <w:sz w:val="20"/>
                <w:szCs w:val="20"/>
              </w:rPr>
              <w:t xml:space="preserve">0.990001</w:t>
            </w:r>
          </w:p>
        </w:tc>
        <w:tc>
          <w:tcPr>
            <w:tcW w:type="dxa" w:w="1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r>
              <w:rPr>
                <w:rFonts w:ascii="Arial" w:cs="Arial" w:eastAsia="Arial" w:hAnsi="Arial"/>
                <w:b/>
                <w:bCs/>
                <w:color w:val="1A7A2E"/>
                <w:sz w:val="20"/>
                <w:szCs w:val="20"/>
              </w:rPr>
              <w:t xml:space="preserve">PASS</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At N = 5, the DefaultAnsatz continues to pass all tests, with fidelities ranging from 0.990 to 0.998. The depth </w:t>
      </w:r>
      <w:r>
        <w:rPr>
          <w:rFonts w:ascii="Cambria Math" w:cs="Cambria Math" w:eastAsia="Cambria Math" w:hAnsi="Cambria Math"/>
          <w:i/>
          <w:iCs/>
          <w:sz w:val="22"/>
          <w:szCs w:val="22"/>
        </w:rPr>
        <w:t xml:space="preserve">L = 2N</w:t>
      </w:r>
      <w:r>
        <w:rPr>
          <w:rFonts w:ascii="Arial" w:cs="Arial" w:eastAsia="Arial" w:hAnsi="Arial"/>
          <w:sz w:val="22"/>
          <w:szCs w:val="22"/>
        </w:rPr>
        <w:t xml:space="preserve"> (i.e., L = 10 for N = 5) is sufficient for all three TW distributions.</w:t>
      </w:r>
    </w:p>
    <w:p>
      <w:pPr>
        <w:pStyle w:val="Heading1"/>
        <w:spacing w:after="200" w:before="360"/>
      </w:pPr>
      <w:r>
        <w:rPr>
          <w:rFonts w:ascii="Arial" w:cs="Arial" w:eastAsia="Arial" w:hAnsi="Arial"/>
          <w:b/>
          <w:bCs/>
          <w:sz w:val="32"/>
          <w:szCs w:val="32"/>
        </w:rPr>
        <w:t xml:space="preserve">5. Discussion</w:t>
      </w:r>
    </w:p>
    <w:p>
      <w:pPr>
        <w:pStyle w:val="Heading2"/>
        <w:spacing w:after="160" w:before="280"/>
      </w:pPr>
      <w:r>
        <w:rPr>
          <w:rFonts w:ascii="Arial" w:cs="Arial" w:eastAsia="Arial" w:hAnsi="Arial"/>
          <w:b/>
          <w:bCs/>
          <w:sz w:val="28"/>
          <w:szCs w:val="28"/>
        </w:rPr>
        <w:t xml:space="preserve">5.1 Why DefaultAnsatz Outperforms EfficientSU2</w:t>
      </w:r>
    </w:p>
    <w:p>
      <w:pPr>
        <w:spacing w:after="160" w:line="276"/>
      </w:pPr>
      <w:r>
        <w:rPr>
          <w:rFonts w:ascii="Arial" w:cs="Arial" w:eastAsia="Arial" w:hAnsi="Arial"/>
          <w:sz w:val="22"/>
          <w:szCs w:val="22"/>
        </w:rPr>
        <w:t xml:space="preserve">The numerical results reveal a counterintuitive finding: the less expressive ansatz (DefaultAnsatz, RY only) dramatically outperforms the more expressive one (EfficientSU2, RY+RZ). This is explained by the interplay of three factors:</w:t>
      </w:r>
    </w:p>
    <w:p>
      <w:pPr>
        <w:pStyle w:val="ListParagraph"/>
        <w:numPr>
          <w:ilvl w:val="0"/>
          <w:numId w:val="3"/>
        </w:numPr>
        <w:spacing w:after="160" w:line="276"/>
      </w:pPr>
      <w:r>
        <w:rPr>
          <w:rFonts w:ascii="Arial" w:cs="Arial" w:eastAsia="Arial" w:hAnsi="Arial"/>
          <w:b/>
          <w:bCs/>
          <w:sz w:val="22"/>
          <w:szCs w:val="22"/>
        </w:rPr>
        <w:t xml:space="preserve">Real target subspace. </w:t>
      </w:r>
      <w:r>
        <w:rPr>
          <w:rFonts w:ascii="Arial" w:cs="Arial" w:eastAsia="Arial" w:hAnsi="Arial"/>
          <w:sz w:val="22"/>
          <w:szCs w:val="22"/>
        </w:rPr>
        <w:t xml:space="preserve">Lemma 1 establishes that all TW targets are purely real. The DefaultAnsatz naturally operates in the real subspace of Hilbert space (RY rotations preserve real amplitudes). The SU2 ansatz, by contrast, introduces complex phases via its RZ gates that must be driven to zero or multiples of 2π — wasted degrees of freedom.</w:t>
      </w:r>
    </w:p>
    <w:p>
      <w:pPr>
        <w:pStyle w:val="ListParagraph"/>
        <w:numPr>
          <w:ilvl w:val="0"/>
          <w:numId w:val="3"/>
        </w:numPr>
        <w:spacing w:after="160" w:line="276"/>
      </w:pPr>
      <w:r>
        <w:rPr>
          <w:rFonts w:ascii="Arial" w:cs="Arial" w:eastAsia="Arial" w:hAnsi="Arial"/>
          <w:b/>
          <w:bCs/>
          <w:sz w:val="22"/>
          <w:szCs w:val="22"/>
        </w:rPr>
        <w:t xml:space="preserve">Overparameterization penalty. </w:t>
      </w:r>
      <w:r>
        <w:rPr>
          <w:rFonts w:ascii="Arial" w:cs="Arial" w:eastAsia="Arial" w:hAnsi="Arial"/>
          <w:sz w:val="22"/>
          <w:szCs w:val="22"/>
        </w:rPr>
        <w:t xml:space="preserve">The SU2 ansatz has 2× the parameters of the DefaultAnsatz at equal depth. For gradient-free optimizers like Nelder-Mead, the convergence rate degrades significantly with parameter count. The simplex in an n-dimensional space requires O(n) function evaluations per iteration, making the doubled parameter space qualitatively harder to search.</w:t>
      </w:r>
    </w:p>
    <w:p>
      <w:pPr>
        <w:pStyle w:val="ListParagraph"/>
        <w:numPr>
          <w:ilvl w:val="0"/>
          <w:numId w:val="3"/>
        </w:numPr>
        <w:spacing w:after="160" w:line="276"/>
      </w:pPr>
      <w:r>
        <w:rPr>
          <w:rFonts w:ascii="Arial" w:cs="Arial" w:eastAsia="Arial" w:hAnsi="Arial"/>
          <w:b/>
          <w:bCs/>
          <w:sz w:val="22"/>
          <w:szCs w:val="22"/>
        </w:rPr>
        <w:t xml:space="preserve">Flat directions. </w:t>
      </w:r>
      <w:r>
        <w:rPr>
          <w:rFonts w:ascii="Arial" w:cs="Arial" w:eastAsia="Arial" w:hAnsi="Arial"/>
          <w:sz w:val="22"/>
          <w:szCs w:val="22"/>
        </w:rPr>
        <w:t xml:space="preserve">The redundant RZ parameters create flat directions (zero-gradient manifolds) in the loss landscape corresponding to irrelevant phase rotations. These trap the optimizer in regions of parameter space that produce states with the correct amplitudes but unnecessary complex phases.</w:t>
      </w:r>
    </w:p>
    <w:p>
      <w:pPr>
        <w:pStyle w:val="Heading2"/>
        <w:spacing w:after="160" w:before="280"/>
      </w:pPr>
      <w:r>
        <w:rPr>
          <w:rFonts w:ascii="Arial" w:cs="Arial" w:eastAsia="Arial" w:hAnsi="Arial"/>
          <w:b/>
          <w:bCs/>
          <w:sz w:val="28"/>
          <w:szCs w:val="28"/>
        </w:rPr>
        <w:t xml:space="preserve">5.2 Implications for Quantum State Preparation</w:t>
      </w:r>
    </w:p>
    <w:p>
      <w:pPr>
        <w:spacing w:after="160" w:line="276"/>
      </w:pPr>
      <w:r>
        <w:rPr>
          <w:rFonts w:ascii="Arial" w:cs="Arial" w:eastAsia="Arial" w:hAnsi="Arial"/>
          <w:sz w:val="22"/>
          <w:szCs w:val="22"/>
        </w:rPr>
        <w:t xml:space="preserve">This result has a practical takeaway for variational quantum state preparation: when the target state is known to be real (as is the case for any probability distribution encoded as a wavefunction amplitude), one should prefer a real-only ansatz (RY + CNOT) over a universal one (RY + RZ + CNOT). The additional expressiveness of the universal ansatz is not only unnecessary but actively harmful to optimization.</w:t>
      </w:r>
    </w:p>
    <w:p>
      <w:pPr>
        <w:spacing w:after="160" w:line="276"/>
      </w:pPr>
      <w:r>
        <w:rPr>
          <w:rFonts w:ascii="Arial" w:cs="Arial" w:eastAsia="Arial" w:hAnsi="Arial"/>
          <w:sz w:val="22"/>
          <w:szCs w:val="22"/>
        </w:rPr>
        <w:t xml:space="preserve">For the WINGS framework specifically, the DefaultAnsatz at depth </w:t>
      </w:r>
      <w:r>
        <w:rPr>
          <w:rFonts w:ascii="Cambria Math" w:cs="Cambria Math" w:eastAsia="Cambria Math" w:hAnsi="Cambria Math"/>
          <w:i/>
          <w:iCs/>
          <w:sz w:val="22"/>
          <w:szCs w:val="22"/>
        </w:rPr>
        <w:t xml:space="preserve">L = 2N</w:t>
      </w:r>
      <w:r>
        <w:rPr>
          <w:rFonts w:ascii="Arial" w:cs="Arial" w:eastAsia="Arial" w:hAnsi="Arial"/>
          <w:sz w:val="22"/>
          <w:szCs w:val="22"/>
        </w:rPr>
        <w:t xml:space="preserve"> is confirmed as the appropriate choice for Tracy-Widom targets, which are now available as new target wavefunctions via the </w:t>
      </w:r>
      <w:r>
        <w:rPr>
          <w:rFonts w:ascii="Arial" w:cs="Arial" w:eastAsia="Arial" w:hAnsi="Arial"/>
          <w:b/>
          <w:bCs/>
          <w:sz w:val="22"/>
          <w:szCs w:val="22"/>
        </w:rPr>
        <w:t xml:space="preserve">tracy_widom.py</w:t>
      </w:r>
      <w:r>
        <w:rPr>
          <w:rFonts w:ascii="Arial" w:cs="Arial" w:eastAsia="Arial" w:hAnsi="Arial"/>
          <w:sz w:val="22"/>
          <w:szCs w:val="22"/>
        </w:rPr>
        <w:t xml:space="preserve"> module.</w:t>
      </w:r>
    </w:p>
    <w:p>
      <w:pPr>
        <w:pStyle w:val="Heading1"/>
        <w:spacing w:after="200" w:before="360"/>
      </w:pPr>
      <w:r>
        <w:rPr>
          <w:rFonts w:ascii="Arial" w:cs="Arial" w:eastAsia="Arial" w:hAnsi="Arial"/>
          <w:b/>
          <w:bCs/>
          <w:sz w:val="32"/>
          <w:szCs w:val="32"/>
        </w:rPr>
        <w:t xml:space="preserve">6. Conclusion</w:t>
      </w:r>
    </w:p>
    <w:p>
      <w:pPr>
        <w:spacing w:after="160" w:line="276"/>
      </w:pPr>
      <w:r>
        <w:rPr>
          <w:rFonts w:ascii="Arial" w:cs="Arial" w:eastAsia="Arial" w:hAnsi="Arial"/>
          <w:b/>
          <w:bCs/>
          <w:sz w:val="22"/>
          <w:szCs w:val="22"/>
        </w:rPr>
        <w:t xml:space="preserve">Proved. </w:t>
      </w:r>
      <w:r>
        <w:rPr>
          <w:rFonts w:ascii="Arial" w:cs="Arial" w:eastAsia="Arial" w:hAnsi="Arial"/>
          <w:sz w:val="22"/>
          <w:szCs w:val="22"/>
        </w:rPr>
        <w:t xml:space="preserve">The DefaultAnsatz (RY + CNOT, linear entanglement) can initialize all three Tracy-Widom distributions (β = 1, 2, 4) to fidelity F &gt; 0.99 at circuit depth L = 2N, for N ∈ {4, 5} qubits. The analytic argument (Lemmas 1–4) guarantees this capability exists in principle for any N; the numerical results confirm practical achievability at polynomial depth with a gradient-free optimizer.</w:t>
      </w:r>
    </w:p>
    <w:p>
      <w:pPr>
        <w:spacing w:after="160" w:line="276"/>
      </w:pPr>
      <w:r>
        <w:rPr>
          <w:rFonts w:ascii="Arial" w:cs="Arial" w:eastAsia="Arial" w:hAnsi="Arial"/>
          <w:sz w:val="22"/>
          <w:szCs w:val="22"/>
        </w:rPr>
        <w:t xml:space="preserve">The key factors enabling efficient preparation are: (i) the purely real nature of TW wavefunctions, which restricts the target to a subspace naturally inhabited by the RY+CNOT ansatz; (ii) the smooth, single-peaked structure of the TW density, which makes the state efficiently approximable well below the worst-case exponential parameter count; and (iii) the low-dimensional optimization landscape of the DefaultAnsatz relative to the EfficientSU2Ansatz, which enables reliable convergence with multi-start Nelder-Mead.</w:t>
      </w:r>
    </w:p>
    <w:p>
      <w:pPr>
        <w:pStyle w:val="Heading1"/>
        <w:spacing w:after="200" w:before="360"/>
      </w:pPr>
      <w:r>
        <w:rPr>
          <w:rFonts w:ascii="Arial" w:cs="Arial" w:eastAsia="Arial" w:hAnsi="Arial"/>
          <w:b/>
          <w:bCs/>
          <w:sz w:val="32"/>
          <w:szCs w:val="32"/>
        </w:rPr>
        <w:t xml:space="preserve">References</w:t>
      </w:r>
    </w:p>
    <w:p>
      <w:pPr>
        <w:spacing w:after="160" w:line="276"/>
      </w:pPr>
      <w:r>
        <w:rPr>
          <w:rFonts w:ascii="Arial" w:cs="Arial" w:eastAsia="Arial" w:hAnsi="Arial"/>
          <w:sz w:val="22"/>
          <w:szCs w:val="22"/>
        </w:rPr>
        <w:t xml:space="preserve">[1] C. A. Tracy and H. A. Widom, “Level-spacing distributions and the Airy kernel,” Commun. Math. Phys. 159, 151–174 (1994).</w:t>
      </w:r>
    </w:p>
    <w:p>
      <w:pPr>
        <w:spacing w:after="160" w:line="276"/>
      </w:pPr>
      <w:r>
        <w:rPr>
          <w:rFonts w:ascii="Arial" w:cs="Arial" w:eastAsia="Arial" w:hAnsi="Arial"/>
          <w:sz w:val="22"/>
          <w:szCs w:val="22"/>
        </w:rPr>
        <w:t xml:space="preserve">[2] C. A. Tracy and H. A. Widom, “On orthogonal and symplectic matrix ensembles,” Commun. Math. Phys. 177, 727–754 (1996).</w:t>
      </w:r>
    </w:p>
    <w:p>
      <w:pPr>
        <w:spacing w:after="160" w:line="276"/>
      </w:pPr>
      <w:r>
        <w:rPr>
          <w:rFonts w:ascii="Arial" w:cs="Arial" w:eastAsia="Arial" w:hAnsi="Arial"/>
          <w:sz w:val="22"/>
          <w:szCs w:val="22"/>
        </w:rPr>
        <w:t xml:space="preserve">[3] F. Bornemann, “On the numerical evaluation of distributions in random matrix theory: A review,” Math. Comp. 79, 871–915 (2010).</w:t>
      </w:r>
    </w:p>
    <w:p>
      <w:pPr>
        <w:spacing w:after="160" w:line="276"/>
      </w:pPr>
      <w:r>
        <w:rPr>
          <w:rFonts w:ascii="Arial" w:cs="Arial" w:eastAsia="Arial" w:hAnsi="Arial"/>
          <w:sz w:val="22"/>
          <w:szCs w:val="22"/>
        </w:rPr>
        <w:t xml:space="preserve">[4] F. Vatan and C. Williams, “Optimal quantum circuits for general two-qubit gates,” PRA 69, 032315 (2004).</w:t>
      </w:r>
    </w:p>
    <w:p>
      <w:pPr>
        <w:spacing w:after="160" w:line="276"/>
      </w:pPr>
      <w:r>
        <w:rPr>
          <w:rFonts w:ascii="Arial" w:cs="Arial" w:eastAsia="Arial" w:hAnsi="Arial"/>
          <w:sz w:val="22"/>
          <w:szCs w:val="22"/>
        </w:rPr>
        <w:t xml:space="preserve">[5] V. V. Shende, S. S. Bullock, and I. L. Markov, “Synthesis of quantum-logic circuits,” PRA 69, 062321 (2004).</w:t>
      </w:r>
    </w:p>
    <w:p>
      <w:pPr>
        <w:spacing w:after="160" w:line="276"/>
      </w:pPr>
      <w:r>
        <w:rPr>
          <w:rFonts w:ascii="Arial" w:cs="Arial" w:eastAsia="Arial" w:hAnsi="Arial"/>
          <w:sz w:val="22"/>
          <w:szCs w:val="22"/>
        </w:rPr>
        <w:t xml:space="preserve">[6] A. Barenco et al., “Elementary gates for quantum computation,” PRA 52, 3457 (1995).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spacing w:after="0"/>
    </w:pPr>
    <w:r>
      <w:rPr>
        <w:rFonts w:ascii="Arial" w:cs="Arial" w:eastAsia="Arial" w:hAnsi="Arial"/>
        <w:i/>
        <w:iCs/>
        <w:color w:val="888888"/>
        <w:sz w:val="18"/>
        <w:szCs w:val="18"/>
      </w:rPr>
      <w:t xml:space="preserve">Tracy-Widom Ansatz Expressibility Proof</w:t>
    </w:r>
    <w:r>
      <w:rPr>
        <w:rFonts w:ascii="Arial" w:cs="Arial" w:eastAsia="Arial" w:hAnsi="Arial"/>
        <w:i/>
        <w:iCs/>
        <w:color w:val="888888"/>
        <w:sz w:val="18"/>
        <w:szCs w:val="18"/>
      </w:rPr>
      <w:t xml:space="preserve">	WINGS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2026-03-31T23:04:37.861Z</dcterms:created>
  <dcterms:modified xsi:type="dcterms:W3CDTF">2026-03-31T23:04:37.861Z</dcterms:modified>
</cp:coreProperties>
</file>

<file path=docProps/custom.xml><?xml version="1.0" encoding="utf-8"?>
<Properties xmlns="http://schemas.openxmlformats.org/officeDocument/2006/custom-properties" xmlns:vt="http://schemas.openxmlformats.org/officeDocument/2006/docPropsVTypes"/>
</file>