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Respuesta a preguntas sobre ventas 2021-2023</w:t>
      </w:r>
    </w:p>
    <w:p>
      <w:pPr>
        <w:pStyle w:val="Subtitle"/>
        <w:jc w:val="center"/>
      </w:pPr>
      <w:r>
        <w:t>Jomar Foods BV | Preparado para revisión oficial con base exclusiva en los archivos entregados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9360"/>
      </w:tblGrid>
      <w:tr>
        <w:tc>
          <w:tcPr>
            <w:tcW w:type="dxa" w:w="9360"/>
            <w:shd w:fill="F4F6F9"/>
            <w:tcMar>
              <w:top w:w="120" w:type="dxa"/>
              <w:start w:w="160" w:type="dxa"/>
              <w:bottom w:w="120" w:type="dxa"/>
              <w:end w:w="160" w:type="dxa"/>
            </w:tcMar>
          </w:tcPr>
          <w:p>
            <w:pPr>
              <w:spacing w:after="0"/>
            </w:pPr>
            <w:r>
              <w:rPr>
                <w:rFonts w:ascii="Calibri" w:hAnsi="Calibri"/>
                <w:b/>
                <w:color w:val="1F4D78"/>
                <w:sz w:val="20"/>
              </w:rPr>
              <w:t xml:space="preserve">Alcance: </w:t>
            </w:r>
            <w:r>
              <w:rPr>
                <w:rFonts w:ascii="Calibri" w:hAnsi="Calibri"/>
                <w:sz w:val="20"/>
              </w:rPr>
              <w:t>Los importes se obtuvieron de los libros mayores, reportes de facturas, reportes de auditoría y audit logs entregados. No se clasifican ventas como exentas o no gravadas sin un reporte fiscal o tax code que lo respalde.</w:t>
            </w:r>
          </w:p>
        </w:tc>
      </w:tr>
    </w:tbl>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c>
          <w:tcPr>
            <w:tcW w:type="dxa" w:w="2304"/>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Grupo de fuente</w:t>
            </w:r>
          </w:p>
        </w:tc>
        <w:tc>
          <w:tcPr>
            <w:tcW w:type="dxa" w:w="6768"/>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Archivos usados</w:t>
            </w:r>
          </w:p>
        </w:tc>
      </w:tr>
      <w:tr>
        <w:tc>
          <w:tcPr>
            <w:tcW w:type="dxa" w:w="2304"/>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Libro mayor</w:t>
            </w:r>
          </w:p>
        </w:tc>
        <w:tc>
          <w:tcPr>
            <w:tcW w:type="dxa" w:w="6768"/>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General Ledger 2021.xlsx; General Ledger 2022.xlsx; General Ledger 2023.xlsx</w:t>
            </w:r>
          </w:p>
        </w:tc>
      </w:tr>
      <w:tr>
        <w:tc>
          <w:tcPr>
            <w:tcW w:type="dxa" w:w="2304"/>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Facturas y ventas</w:t>
            </w:r>
          </w:p>
        </w:tc>
        <w:tc>
          <w:tcPr>
            <w:tcW w:type="dxa" w:w="6768"/>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39_Jomar Foods BV_Sales by Customer Detail.xlsx; Invoices QB Viejo.xlsm; Transaction List by Customer QB viejo.xlsm</w:t>
            </w:r>
          </w:p>
        </w:tc>
      </w:tr>
      <w:tr>
        <w:tc>
          <w:tcPr>
            <w:tcW w:type="dxa" w:w="2304"/>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Notas, anulaciones y auditoría</w:t>
            </w:r>
          </w:p>
        </w:tc>
        <w:tc>
          <w:tcPr>
            <w:tcW w:type="dxa" w:w="6768"/>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Tansacciones Borradas o Void QB viejo.xlsm; Audit Trail.xlsm; Audit Log (1).csv; Audit Log (2).csv</w:t>
            </w:r>
          </w:p>
        </w:tc>
      </w:tr>
    </w:tbl>
    <w:p/>
    <w:p>
      <w:pPr>
        <w:pStyle w:val="Heading1"/>
      </w:pPr>
      <w:r>
        <w:t>a. Resumen de números de facturas utilizados por año</w:t>
      </w:r>
    </w:p>
    <w:p>
      <w:r>
        <w:t>Se identificaron dos series reales de numeración: una serie baja y una serie principal. Por esa razón, los saltos entre una serie y otra no se tratan como facturas faltantes. Los rangos siguientes muestran las facturas utilizadas y los números no observados dentro de cada serie.</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872"/>
        <w:gridCol w:w="1872"/>
        <w:gridCol w:w="1872"/>
        <w:gridCol w:w="1872"/>
        <w:gridCol w:w="1872"/>
      </w:tblGrid>
      <w:tr>
        <w:tc>
          <w:tcPr>
            <w:tcW w:type="dxa" w:w="792"/>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Año</w:t>
            </w:r>
          </w:p>
        </w:tc>
        <w:tc>
          <w:tcPr>
            <w:tcW w:type="dxa" w:w="108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Serie</w:t>
            </w:r>
          </w:p>
        </w:tc>
        <w:tc>
          <w:tcPr>
            <w:tcW w:type="dxa" w:w="1655"/>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Rango de facturas usado</w:t>
            </w:r>
          </w:p>
        </w:tc>
        <w:tc>
          <w:tcPr>
            <w:tcW w:type="dxa" w:w="3528"/>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Números no observados dentro del rango</w:t>
            </w:r>
          </w:p>
        </w:tc>
        <w:tc>
          <w:tcPr>
            <w:tcW w:type="dxa" w:w="2015"/>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Observación</w:t>
            </w:r>
          </w:p>
        </w:tc>
      </w:tr>
      <w:tr>
        <w:tc>
          <w:tcPr>
            <w:tcW w:type="dxa" w:w="79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2021</w:t>
            </w:r>
          </w:p>
        </w:tc>
        <w:tc>
          <w:tcPr>
            <w:tcW w:type="dxa" w:w="108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Baja</w:t>
            </w:r>
          </w:p>
        </w:tc>
        <w:tc>
          <w:tcPr>
            <w:tcW w:type="dxa" w:w="1655"/>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178-297</w:t>
            </w:r>
          </w:p>
        </w:tc>
        <w:tc>
          <w:tcPr>
            <w:tcW w:type="dxa" w:w="3528"/>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241-242, 264, 284</w:t>
            </w:r>
          </w:p>
        </w:tc>
        <w:tc>
          <w:tcPr>
            <w:tcW w:type="dxa" w:w="2015"/>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242, 264 y 284 aparecen como credit memos; 213 y 230 figuran con monto cero/anulación.</w:t>
            </w:r>
          </w:p>
        </w:tc>
      </w:tr>
      <w:tr>
        <w:tc>
          <w:tcPr>
            <w:tcW w:type="dxa" w:w="79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2021</w:t>
            </w:r>
          </w:p>
        </w:tc>
        <w:tc>
          <w:tcPr>
            <w:tcW w:type="dxa" w:w="108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Principal</w:t>
            </w:r>
          </w:p>
        </w:tc>
        <w:tc>
          <w:tcPr>
            <w:tcW w:type="dxa" w:w="1655"/>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1614-2803</w:t>
            </w:r>
          </w:p>
        </w:tc>
        <w:tc>
          <w:tcPr>
            <w:tcW w:type="dxa" w:w="3528"/>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1653, 2097, 2130, 2170, 2188, 2218-2241, 2243-2250, 2252-2270, 2350-2351, 2384, 2448-2450, 2486, 2525, 2531, 2579, 2614</w:t>
            </w:r>
          </w:p>
        </w:tc>
        <w:tc>
          <w:tcPr>
            <w:tcW w:type="dxa" w:w="2015"/>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Parte de estos números corresponde a credit memos y registros de anulación/cambio en QB Desktop.</w:t>
            </w:r>
          </w:p>
        </w:tc>
      </w:tr>
      <w:tr>
        <w:tc>
          <w:tcPr>
            <w:tcW w:type="dxa" w:w="79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2022</w:t>
            </w:r>
          </w:p>
        </w:tc>
        <w:tc>
          <w:tcPr>
            <w:tcW w:type="dxa" w:w="108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Baja</w:t>
            </w:r>
          </w:p>
        </w:tc>
        <w:tc>
          <w:tcPr>
            <w:tcW w:type="dxa" w:w="1655"/>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298-341</w:t>
            </w:r>
          </w:p>
        </w:tc>
        <w:tc>
          <w:tcPr>
            <w:tcW w:type="dxa" w:w="3528"/>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318, 329</w:t>
            </w:r>
          </w:p>
        </w:tc>
        <w:tc>
          <w:tcPr>
            <w:tcW w:type="dxa" w:w="2015"/>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318 y 329 aparecen como credit memos.</w:t>
            </w:r>
          </w:p>
        </w:tc>
      </w:tr>
      <w:tr>
        <w:tc>
          <w:tcPr>
            <w:tcW w:type="dxa" w:w="79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2022</w:t>
            </w:r>
          </w:p>
        </w:tc>
        <w:tc>
          <w:tcPr>
            <w:tcW w:type="dxa" w:w="108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Principal</w:t>
            </w:r>
          </w:p>
        </w:tc>
        <w:tc>
          <w:tcPr>
            <w:tcW w:type="dxa" w:w="1655"/>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2804-3386</w:t>
            </w:r>
          </w:p>
        </w:tc>
        <w:tc>
          <w:tcPr>
            <w:tcW w:type="dxa" w:w="3528"/>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2962-2963, 3069-3072, 3107, 3120, 3156-3157, 3170-3174, 3209, 3252-3254, 3280-3281, 3290, 3365, 3384</w:t>
            </w:r>
          </w:p>
        </w:tc>
        <w:tc>
          <w:tcPr>
            <w:tcW w:type="dxa" w:w="2015"/>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Todos los números no observados dentro de esta serie aparecen como credit memos.</w:t>
            </w:r>
          </w:p>
        </w:tc>
      </w:tr>
      <w:tr>
        <w:tc>
          <w:tcPr>
            <w:tcW w:type="dxa" w:w="79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2023</w:t>
            </w:r>
          </w:p>
        </w:tc>
        <w:tc>
          <w:tcPr>
            <w:tcW w:type="dxa" w:w="108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Baja</w:t>
            </w:r>
          </w:p>
        </w:tc>
        <w:tc>
          <w:tcPr>
            <w:tcW w:type="dxa" w:w="1655"/>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342-352</w:t>
            </w:r>
          </w:p>
        </w:tc>
        <w:tc>
          <w:tcPr>
            <w:tcW w:type="dxa" w:w="3528"/>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Ninguno</w:t>
            </w:r>
          </w:p>
        </w:tc>
        <w:tc>
          <w:tcPr>
            <w:tcW w:type="dxa" w:w="2015"/>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Serie completa dentro del rango observado.</w:t>
            </w:r>
          </w:p>
        </w:tc>
      </w:tr>
      <w:tr>
        <w:tc>
          <w:tcPr>
            <w:tcW w:type="dxa" w:w="79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2023</w:t>
            </w:r>
          </w:p>
        </w:tc>
        <w:tc>
          <w:tcPr>
            <w:tcW w:type="dxa" w:w="108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Principal</w:t>
            </w:r>
          </w:p>
        </w:tc>
        <w:tc>
          <w:tcPr>
            <w:tcW w:type="dxa" w:w="1655"/>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3387-3913</w:t>
            </w:r>
          </w:p>
        </w:tc>
        <w:tc>
          <w:tcPr>
            <w:tcW w:type="dxa" w:w="3528"/>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3440, 3457-3460, 3604, 3677, 3809, 3910</w:t>
            </w:r>
          </w:p>
        </w:tc>
        <w:tc>
          <w:tcPr>
            <w:tcW w:type="dxa" w:w="2015"/>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Todos estos números aparecen como credit memos. La factura 3697 está anulada/con monto cero.</w:t>
            </w:r>
          </w:p>
        </w:tc>
      </w:tr>
    </w:tbl>
    <w:p/>
    <w:p>
      <w:pPr>
        <w:pStyle w:val="SourceNote"/>
      </w:pPr>
      <w:r>
        <w:rPr>
          <w:b/>
        </w:rPr>
        <w:t xml:space="preserve">Fuente: </w:t>
      </w:r>
      <w:r>
        <w:t>Sales by Customer Detail, Invoices QB Viejo, Transaction List by Customer QB viejo y Tansacciones Borradas o Void QB viejo.</w:t>
      </w:r>
    </w:p>
    <w:p>
      <w:pPr>
        <w:pStyle w:val="Heading1"/>
      </w:pPr>
      <w:r>
        <w:t>b. Conciliación entre facturas de venta y ventas registradas en el libro mayor</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60"/>
        <w:gridCol w:w="1560"/>
        <w:gridCol w:w="1560"/>
        <w:gridCol w:w="1560"/>
        <w:gridCol w:w="1560"/>
        <w:gridCol w:w="1560"/>
      </w:tblGrid>
      <w:tr>
        <w:tc>
          <w:tcPr>
            <w:tcW w:type="dxa" w:w="792"/>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Año</w:t>
            </w:r>
          </w:p>
        </w:tc>
        <w:tc>
          <w:tcPr>
            <w:tcW w:type="dxa" w:w="1655"/>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Facturas</w:t>
            </w:r>
          </w:p>
        </w:tc>
        <w:tc>
          <w:tcPr>
            <w:tcW w:type="dxa" w:w="1584"/>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Credit memos</w:t>
            </w:r>
          </w:p>
        </w:tc>
        <w:tc>
          <w:tcPr>
            <w:tcW w:type="dxa" w:w="1655"/>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Neto facturas</w:t>
            </w:r>
          </w:p>
        </w:tc>
        <w:tc>
          <w:tcPr>
            <w:tcW w:type="dxa" w:w="1655"/>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Ventas según GL</w:t>
            </w:r>
          </w:p>
        </w:tc>
        <w:tc>
          <w:tcPr>
            <w:tcW w:type="dxa" w:w="144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Diferencia</w:t>
            </w:r>
          </w:p>
        </w:tc>
      </w:tr>
      <w:tr>
        <w:tc>
          <w:tcPr>
            <w:tcW w:type="dxa" w:w="79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2021</w:t>
            </w:r>
          </w:p>
        </w:tc>
        <w:tc>
          <w:tcPr>
            <w:tcW w:type="dxa" w:w="1655"/>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ƒ1,081,114.47</w:t>
            </w:r>
          </w:p>
        </w:tc>
        <w:tc>
          <w:tcPr>
            <w:tcW w:type="dxa" w:w="158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-ƒ2,378.31</w:t>
            </w:r>
          </w:p>
        </w:tc>
        <w:tc>
          <w:tcPr>
            <w:tcW w:type="dxa" w:w="1655"/>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ƒ1,078,736.16</w:t>
            </w:r>
          </w:p>
        </w:tc>
        <w:tc>
          <w:tcPr>
            <w:tcW w:type="dxa" w:w="1655"/>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ƒ1,082,539.16</w:t>
            </w:r>
          </w:p>
        </w:tc>
        <w:tc>
          <w:tcPr>
            <w:tcW w:type="dxa" w:w="144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ƒ3,803.00</w:t>
            </w:r>
          </w:p>
        </w:tc>
      </w:tr>
      <w:tr>
        <w:tc>
          <w:tcPr>
            <w:tcW w:type="dxa" w:w="79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2022</w:t>
            </w:r>
          </w:p>
        </w:tc>
        <w:tc>
          <w:tcPr>
            <w:tcW w:type="dxa" w:w="1655"/>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ƒ691,972.35</w:t>
            </w:r>
          </w:p>
        </w:tc>
        <w:tc>
          <w:tcPr>
            <w:tcW w:type="dxa" w:w="158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-ƒ11,378.44</w:t>
            </w:r>
          </w:p>
        </w:tc>
        <w:tc>
          <w:tcPr>
            <w:tcW w:type="dxa" w:w="1655"/>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ƒ680,593.91</w:t>
            </w:r>
          </w:p>
        </w:tc>
        <w:tc>
          <w:tcPr>
            <w:tcW w:type="dxa" w:w="1655"/>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ƒ680,593.98</w:t>
            </w:r>
          </w:p>
        </w:tc>
        <w:tc>
          <w:tcPr>
            <w:tcW w:type="dxa" w:w="144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ƒ0.07</w:t>
            </w:r>
          </w:p>
        </w:tc>
      </w:tr>
      <w:tr>
        <w:tc>
          <w:tcPr>
            <w:tcW w:type="dxa" w:w="79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2023</w:t>
            </w:r>
          </w:p>
        </w:tc>
        <w:tc>
          <w:tcPr>
            <w:tcW w:type="dxa" w:w="1655"/>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ƒ777,806.26</w:t>
            </w:r>
          </w:p>
        </w:tc>
        <w:tc>
          <w:tcPr>
            <w:tcW w:type="dxa" w:w="158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-ƒ2,714.67</w:t>
            </w:r>
          </w:p>
        </w:tc>
        <w:tc>
          <w:tcPr>
            <w:tcW w:type="dxa" w:w="1655"/>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ƒ775,091.59</w:t>
            </w:r>
          </w:p>
        </w:tc>
        <w:tc>
          <w:tcPr>
            <w:tcW w:type="dxa" w:w="1655"/>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ƒ775,091.59</w:t>
            </w:r>
          </w:p>
        </w:tc>
        <w:tc>
          <w:tcPr>
            <w:tcW w:type="dxa" w:w="144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ƒ0.00</w:t>
            </w:r>
          </w:p>
        </w:tc>
      </w:tr>
    </w:tbl>
    <w:p/>
    <w:p>
      <w:r>
        <w:t>Para 2021, la diferencia se explica por ingresos registrados directamente en la cuenta de Revenues que no provienen de facturas ordinarias, detallados en la pregunta d. Para 2022, la diferencia de ƒ0.07 es de redondeo. Para 2023, las facturas netas concilian exactamente con el libro mayor.</w:t>
      </w:r>
    </w:p>
    <w:p>
      <w:pPr>
        <w:pStyle w:val="SourceNote"/>
      </w:pPr>
      <w:r>
        <w:rPr>
          <w:b/>
        </w:rPr>
        <w:t xml:space="preserve">Fuente: </w:t>
      </w:r>
      <w:r>
        <w:t>General Ledger 2021, 2022 y 2023; Sales by Customer Detail; Invoices QB Viejo.</w:t>
      </w:r>
    </w:p>
    <w:p>
      <w:pPr>
        <w:pStyle w:val="Heading1"/>
      </w:pPr>
      <w:r>
        <w:t>c. Resumen de ingresos bancarios y en efectivo por año</w:t>
      </w:r>
    </w:p>
    <w:p>
      <w:r>
        <w:t>Se separan los recibos positivos totales en caja/bancos de la porción identificada como cobros de cuentas por cobrar. Esta separación es necesaria porque los recibos bancarios y de caja incluyen también aportes, transferencias y otras entradas no relacionadas directamente con ventas del año.</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560"/>
        <w:gridCol w:w="1560"/>
        <w:gridCol w:w="1560"/>
        <w:gridCol w:w="1560"/>
        <w:gridCol w:w="1560"/>
        <w:gridCol w:w="1560"/>
      </w:tblGrid>
      <w:tr>
        <w:tc>
          <w:tcPr>
            <w:tcW w:type="dxa" w:w="72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Año</w:t>
            </w:r>
          </w:p>
        </w:tc>
        <w:tc>
          <w:tcPr>
            <w:tcW w:type="dxa" w:w="1584"/>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Saldo inicial caja/bancos</w:t>
            </w:r>
          </w:p>
        </w:tc>
        <w:tc>
          <w:tcPr>
            <w:tcW w:type="dxa" w:w="1944"/>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Recibos positivos caja/bancos</w:t>
            </w:r>
          </w:p>
        </w:tc>
        <w:tc>
          <w:tcPr>
            <w:tcW w:type="dxa" w:w="180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Cobros identificados de A/R</w:t>
            </w:r>
          </w:p>
        </w:tc>
        <w:tc>
          <w:tcPr>
            <w:tcW w:type="dxa" w:w="1512"/>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Ventas GL</w:t>
            </w:r>
          </w:p>
        </w:tc>
        <w:tc>
          <w:tcPr>
            <w:tcW w:type="dxa" w:w="180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Diferencia recibos A/R vs ventas GL</w:t>
            </w:r>
          </w:p>
        </w:tc>
      </w:tr>
      <w:tr>
        <w:tc>
          <w:tcPr>
            <w:tcW w:type="dxa" w:w="72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2021</w:t>
            </w:r>
          </w:p>
        </w:tc>
        <w:tc>
          <w:tcPr>
            <w:tcW w:type="dxa" w:w="158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ƒ45,767.94</w:t>
            </w:r>
          </w:p>
        </w:tc>
        <w:tc>
          <w:tcPr>
            <w:tcW w:type="dxa" w:w="194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ƒ1,604,370.00</w:t>
            </w:r>
          </w:p>
        </w:tc>
        <w:tc>
          <w:tcPr>
            <w:tcW w:type="dxa" w:w="180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ƒ1,157,480.95</w:t>
            </w:r>
          </w:p>
        </w:tc>
        <w:tc>
          <w:tcPr>
            <w:tcW w:type="dxa" w:w="1512"/>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ƒ1,082,539.16</w:t>
            </w:r>
          </w:p>
        </w:tc>
        <w:tc>
          <w:tcPr>
            <w:tcW w:type="dxa" w:w="180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ƒ74,941.79</w:t>
            </w:r>
          </w:p>
        </w:tc>
      </w:tr>
      <w:tr>
        <w:tc>
          <w:tcPr>
            <w:tcW w:type="dxa" w:w="72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2022</w:t>
            </w:r>
          </w:p>
        </w:tc>
        <w:tc>
          <w:tcPr>
            <w:tcW w:type="dxa" w:w="158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ƒ86,993.94</w:t>
            </w:r>
          </w:p>
        </w:tc>
        <w:tc>
          <w:tcPr>
            <w:tcW w:type="dxa" w:w="194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ƒ835,079.02</w:t>
            </w:r>
          </w:p>
        </w:tc>
        <w:tc>
          <w:tcPr>
            <w:tcW w:type="dxa" w:w="180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ƒ803,440.05</w:t>
            </w:r>
          </w:p>
        </w:tc>
        <w:tc>
          <w:tcPr>
            <w:tcW w:type="dxa" w:w="1512"/>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ƒ680,593.98</w:t>
            </w:r>
          </w:p>
        </w:tc>
        <w:tc>
          <w:tcPr>
            <w:tcW w:type="dxa" w:w="180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ƒ122,846.07</w:t>
            </w:r>
          </w:p>
        </w:tc>
      </w:tr>
      <w:tr>
        <w:tc>
          <w:tcPr>
            <w:tcW w:type="dxa" w:w="72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2023</w:t>
            </w:r>
          </w:p>
        </w:tc>
        <w:tc>
          <w:tcPr>
            <w:tcW w:type="dxa" w:w="158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ƒ25,341.59</w:t>
            </w:r>
          </w:p>
        </w:tc>
        <w:tc>
          <w:tcPr>
            <w:tcW w:type="dxa" w:w="194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ƒ912,473.47</w:t>
            </w:r>
          </w:p>
        </w:tc>
        <w:tc>
          <w:tcPr>
            <w:tcW w:type="dxa" w:w="180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ƒ700,709.00</w:t>
            </w:r>
          </w:p>
        </w:tc>
        <w:tc>
          <w:tcPr>
            <w:tcW w:type="dxa" w:w="1512"/>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ƒ775,091.59</w:t>
            </w:r>
          </w:p>
        </w:tc>
        <w:tc>
          <w:tcPr>
            <w:tcW w:type="dxa" w:w="180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-ƒ74,382.59</w:t>
            </w:r>
          </w:p>
        </w:tc>
      </w:tr>
    </w:tbl>
    <w:p/>
    <w:p>
      <w:r>
        <w:t>La conciliación entre cobros y ventas no debe esperarse igual a cero porque las ventas se registran por devengo y los cobros liquidan cuentas por cobrar de distintos periodos. El saldo de cuentas por cobrar combinado pasa de ƒ266,911.15 al inicio de 2021 a ƒ224,394.30 al cierre de 2023.</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1152"/>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Año</w:t>
            </w:r>
          </w:p>
        </w:tc>
        <w:tc>
          <w:tcPr>
            <w:tcW w:type="dxa" w:w="2304"/>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Saldo inicial A/R</w:t>
            </w:r>
          </w:p>
        </w:tc>
        <w:tc>
          <w:tcPr>
            <w:tcW w:type="dxa" w:w="2304"/>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Movimiento neto A/R</w:t>
            </w:r>
          </w:p>
        </w:tc>
        <w:tc>
          <w:tcPr>
            <w:tcW w:type="dxa" w:w="2304"/>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Saldo final A/R</w:t>
            </w:r>
          </w:p>
        </w:tc>
      </w:tr>
      <w:tr>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2021</w:t>
            </w:r>
          </w:p>
        </w:tc>
        <w:tc>
          <w:tcPr>
            <w:tcW w:type="dxa" w:w="230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ƒ266,911.15</w:t>
            </w:r>
          </w:p>
        </w:tc>
        <w:tc>
          <w:tcPr>
            <w:tcW w:type="dxa" w:w="230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-ƒ43,329.60</w:t>
            </w:r>
          </w:p>
        </w:tc>
        <w:tc>
          <w:tcPr>
            <w:tcW w:type="dxa" w:w="230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ƒ223,581.55</w:t>
            </w:r>
          </w:p>
        </w:tc>
      </w:tr>
      <w:tr>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2022</w:t>
            </w:r>
          </w:p>
        </w:tc>
        <w:tc>
          <w:tcPr>
            <w:tcW w:type="dxa" w:w="230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ƒ223,581.55</w:t>
            </w:r>
          </w:p>
        </w:tc>
        <w:tc>
          <w:tcPr>
            <w:tcW w:type="dxa" w:w="230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-ƒ92,109.66</w:t>
            </w:r>
          </w:p>
        </w:tc>
        <w:tc>
          <w:tcPr>
            <w:tcW w:type="dxa" w:w="230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ƒ131,471.89</w:t>
            </w:r>
          </w:p>
        </w:tc>
      </w:tr>
      <w:tr>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2023</w:t>
            </w:r>
          </w:p>
        </w:tc>
        <w:tc>
          <w:tcPr>
            <w:tcW w:type="dxa" w:w="230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ƒ131,471.86</w:t>
            </w:r>
          </w:p>
        </w:tc>
        <w:tc>
          <w:tcPr>
            <w:tcW w:type="dxa" w:w="230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ƒ92,922.44</w:t>
            </w:r>
          </w:p>
        </w:tc>
        <w:tc>
          <w:tcPr>
            <w:tcW w:type="dxa" w:w="2304"/>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ƒ224,394.30</w:t>
            </w:r>
          </w:p>
        </w:tc>
      </w:tr>
    </w:tbl>
    <w:p/>
    <w:p>
      <w:pPr>
        <w:pStyle w:val="SourceNote"/>
      </w:pPr>
      <w:r>
        <w:rPr>
          <w:b/>
        </w:rPr>
        <w:t xml:space="preserve">Fuente: </w:t>
      </w:r>
      <w:r>
        <w:t>General Ledger 2021, 2022 y 2023; cuentas 1000, 1001, 1002, 1003, 11000 y 1300.</w:t>
      </w:r>
    </w:p>
    <w:p>
      <w:pPr>
        <w:pStyle w:val="Heading1"/>
      </w:pPr>
      <w:r>
        <w:t>d. Ingresos no registrados mediante facturas de venta</w:t>
      </w:r>
    </w:p>
    <w:p>
      <w:r>
        <w:t>En 2021 se identificaron partidas registradas en Revenues que no corresponden a facturas ordinarias de venta. Esas partidas explican la diferencia material entre el neto de facturas y el GL.</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1296"/>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Fecha</w:t>
            </w:r>
          </w:p>
        </w:tc>
        <w:tc>
          <w:tcPr>
            <w:tcW w:type="dxa" w:w="1152"/>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Tipo</w:t>
            </w:r>
          </w:p>
        </w:tc>
        <w:tc>
          <w:tcPr>
            <w:tcW w:type="dxa" w:w="5184"/>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Descripción</w:t>
            </w:r>
          </w:p>
        </w:tc>
        <w:tc>
          <w:tcPr>
            <w:tcW w:type="dxa" w:w="144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Importe en ventas</w:t>
            </w:r>
          </w:p>
        </w:tc>
      </w:tr>
      <w:tr>
        <w:tc>
          <w:tcPr>
            <w:tcW w:type="dxa" w:w="1296"/>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2021-01-25</w:t>
            </w:r>
          </w:p>
        </w:tc>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Deposit</w:t>
            </w:r>
          </w:p>
        </w:tc>
        <w:tc>
          <w:tcPr>
            <w:tcW w:type="dxa" w:w="5184"/>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Roberto da Silva - He sold a Torro from the Farm</w:t>
            </w:r>
          </w:p>
        </w:tc>
        <w:tc>
          <w:tcPr>
            <w:tcW w:type="dxa" w:w="144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ƒ3,700.00</w:t>
            </w:r>
          </w:p>
        </w:tc>
      </w:tr>
      <w:tr>
        <w:tc>
          <w:tcPr>
            <w:tcW w:type="dxa" w:w="1296"/>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2021-01-29</w:t>
            </w:r>
          </w:p>
        </w:tc>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Deposit</w:t>
            </w:r>
          </w:p>
        </w:tc>
        <w:tc>
          <w:tcPr>
            <w:tcW w:type="dxa" w:w="5184"/>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Roberto da Silva - Sold Blood</w:t>
            </w:r>
          </w:p>
        </w:tc>
        <w:tc>
          <w:tcPr>
            <w:tcW w:type="dxa" w:w="144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ƒ150.00</w:t>
            </w:r>
          </w:p>
        </w:tc>
      </w:tr>
      <w:tr>
        <w:tc>
          <w:tcPr>
            <w:tcW w:type="dxa" w:w="1296"/>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2021-07-12</w:t>
            </w:r>
          </w:p>
        </w:tc>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Bill</w:t>
            </w:r>
          </w:p>
        </w:tc>
        <w:tc>
          <w:tcPr>
            <w:tcW w:type="dxa" w:w="5184"/>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Mangusa Hypermarket B.V. - Loin Ribs</w:t>
            </w:r>
          </w:p>
        </w:tc>
        <w:tc>
          <w:tcPr>
            <w:tcW w:type="dxa" w:w="144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-ƒ29.85</w:t>
            </w:r>
          </w:p>
        </w:tc>
      </w:tr>
      <w:tr>
        <w:tc>
          <w:tcPr>
            <w:tcW w:type="dxa" w:w="1296"/>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2021-07-12</w:t>
            </w:r>
          </w:p>
        </w:tc>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Bill</w:t>
            </w:r>
          </w:p>
        </w:tc>
        <w:tc>
          <w:tcPr>
            <w:tcW w:type="dxa" w:w="5184"/>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Moos BV - Chinese Sauasage</w:t>
            </w:r>
          </w:p>
        </w:tc>
        <w:tc>
          <w:tcPr>
            <w:tcW w:type="dxa" w:w="144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-ƒ17.49</w:t>
            </w:r>
          </w:p>
        </w:tc>
      </w:tr>
      <w:tr>
        <w:tc>
          <w:tcPr>
            <w:tcW w:type="dxa" w:w="1296"/>
            <w:vAlign w:val="center"/>
            <w:tcMar>
              <w:top w:w="80" w:type="dxa"/>
              <w:start w:w="120" w:type="dxa"/>
              <w:bottom w:w="80" w:type="dxa"/>
              <w:end w:w="120" w:type="dxa"/>
            </w:tcMar>
          </w:tcPr>
          <w:p>
            <w:r>
              <w:t>—</w:t>
            </w:r>
          </w:p>
        </w:tc>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Neto identificado</w:t>
            </w:r>
          </w:p>
        </w:tc>
        <w:tc>
          <w:tcPr>
            <w:tcW w:type="dxa" w:w="5184"/>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Depósitos menos bills cargados a Revenues</w:t>
            </w:r>
          </w:p>
        </w:tc>
        <w:tc>
          <w:tcPr>
            <w:tcW w:type="dxa" w:w="144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ƒ3,802.66</w:t>
            </w:r>
          </w:p>
        </w:tc>
      </w:tr>
    </w:tbl>
    <w:p/>
    <w:p>
      <w:r>
        <w:t>La diferencia restante contra la conciliación anual de 2021 es ƒ0.34, atribuible a redondeo entre reportes. Para 2022 no hay diferencia material no facturada; para 2023 el neto de facturas y credit memos concilia exactamente con el libro mayor.</w:t>
      </w:r>
    </w:p>
    <w:p>
      <w:pPr>
        <w:pStyle w:val="SourceNote"/>
      </w:pPr>
      <w:r>
        <w:rPr>
          <w:b/>
        </w:rPr>
        <w:t xml:space="preserve">Fuente: </w:t>
      </w:r>
      <w:r>
        <w:t>General Ledger 2021, sección Revenues.</w:t>
      </w:r>
    </w:p>
    <w:p>
      <w:pPr>
        <w:pStyle w:val="Heading1"/>
      </w:pPr>
      <w:r>
        <w:t>e. Notas de crédito, anulaciones y devoluciones</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1152"/>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Año</w:t>
            </w:r>
          </w:p>
        </w:tc>
        <w:tc>
          <w:tcPr>
            <w:tcW w:type="dxa" w:w="1728"/>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Credit memos</w:t>
            </w:r>
          </w:p>
        </w:tc>
        <w:tc>
          <w:tcPr>
            <w:tcW w:type="dxa" w:w="144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Líneas</w:t>
            </w:r>
          </w:p>
        </w:tc>
        <w:tc>
          <w:tcPr>
            <w:tcW w:type="dxa" w:w="1728"/>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Total</w:t>
            </w:r>
          </w:p>
        </w:tc>
      </w:tr>
      <w:tr>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2021</w:t>
            </w:r>
          </w:p>
        </w:tc>
        <w:tc>
          <w:tcPr>
            <w:tcW w:type="dxa" w:w="1728"/>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16</w:t>
            </w:r>
          </w:p>
        </w:tc>
        <w:tc>
          <w:tcPr>
            <w:tcW w:type="dxa" w:w="144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35</w:t>
            </w:r>
          </w:p>
        </w:tc>
        <w:tc>
          <w:tcPr>
            <w:tcW w:type="dxa" w:w="1728"/>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-ƒ2,378.31</w:t>
            </w:r>
          </w:p>
        </w:tc>
      </w:tr>
      <w:tr>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2022</w:t>
            </w:r>
          </w:p>
        </w:tc>
        <w:tc>
          <w:tcPr>
            <w:tcW w:type="dxa" w:w="1728"/>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27</w:t>
            </w:r>
          </w:p>
        </w:tc>
        <w:tc>
          <w:tcPr>
            <w:tcW w:type="dxa" w:w="144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39</w:t>
            </w:r>
          </w:p>
        </w:tc>
        <w:tc>
          <w:tcPr>
            <w:tcW w:type="dxa" w:w="1728"/>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-ƒ11,378.44</w:t>
            </w:r>
          </w:p>
        </w:tc>
      </w:tr>
      <w:tr>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2023</w:t>
            </w:r>
          </w:p>
        </w:tc>
        <w:tc>
          <w:tcPr>
            <w:tcW w:type="dxa" w:w="1728"/>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14</w:t>
            </w:r>
          </w:p>
        </w:tc>
        <w:tc>
          <w:tcPr>
            <w:tcW w:type="dxa" w:w="144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20</w:t>
            </w:r>
          </w:p>
        </w:tc>
        <w:tc>
          <w:tcPr>
            <w:tcW w:type="dxa" w:w="1728"/>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-ƒ2,714.67</w:t>
            </w:r>
          </w:p>
        </w:tc>
      </w:tr>
    </w:tbl>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288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Fuente</w:t>
            </w:r>
          </w:p>
        </w:tc>
        <w:tc>
          <w:tcPr>
            <w:tcW w:type="dxa" w:w="1152"/>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Periodo</w:t>
            </w:r>
          </w:p>
        </w:tc>
        <w:tc>
          <w:tcPr>
            <w:tcW w:type="dxa" w:w="504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Resumen de anulaciones/cambios</w:t>
            </w:r>
          </w:p>
        </w:tc>
      </w:tr>
      <w:tr>
        <w:tc>
          <w:tcPr>
            <w:tcW w:type="dxa" w:w="2880"/>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Tansacciones Borradas o Void QB viejo</w:t>
            </w:r>
          </w:p>
        </w:tc>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2021</w:t>
            </w:r>
          </w:p>
        </w:tc>
        <w:tc>
          <w:tcPr>
            <w:tcW w:type="dxa" w:w="5040"/>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38 números únicos con Voided Transaction; además se observan Added, Changed y Unvoided Transactions asociados al historial de las facturas.</w:t>
            </w:r>
          </w:p>
        </w:tc>
      </w:tr>
      <w:tr>
        <w:tc>
          <w:tcPr>
            <w:tcW w:type="dxa" w:w="2880"/>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Tansacciones Borradas o Void QB viejo</w:t>
            </w:r>
          </w:p>
        </w:tc>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2022</w:t>
            </w:r>
          </w:p>
        </w:tc>
        <w:tc>
          <w:tcPr>
            <w:tcW w:type="dxa" w:w="5040"/>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1 número único con Voided Transaction: factura 2854, con monto cero en la anulación.</w:t>
            </w:r>
          </w:p>
        </w:tc>
      </w:tr>
      <w:tr>
        <w:tc>
          <w:tcPr>
            <w:tcW w:type="dxa" w:w="288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Audit Log (1).csv</w:t>
            </w:r>
          </w:p>
        </w:tc>
        <w:tc>
          <w:tcPr>
            <w:tcW w:type="dxa" w:w="1152"/>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2023</w:t>
            </w:r>
          </w:p>
        </w:tc>
        <w:tc>
          <w:tcPr>
            <w:tcW w:type="dxa" w:w="5040"/>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123 eventos Voided Invoice en QBO; incluye facturas con monto cero/anuladas, por ejemplo 3697.</w:t>
            </w:r>
          </w:p>
        </w:tc>
      </w:tr>
    </w:tbl>
    <w:p/>
    <w:p>
      <w:pPr>
        <w:pStyle w:val="SourceNote"/>
      </w:pPr>
      <w:r>
        <w:rPr>
          <w:b/>
        </w:rPr>
        <w:t xml:space="preserve">Fuente: </w:t>
      </w:r>
      <w:r>
        <w:t>Sales by Customer Detail, Tansacciones Borradas o Void QB viejo y Audit Log (1).csv.</w:t>
      </w:r>
    </w:p>
    <w:p>
      <w:pPr>
        <w:pStyle w:val="Heading1"/>
      </w:pPr>
      <w:r>
        <w:t>f. Registro de auditoría de facturas eliminadas y modificadas</w:t>
      </w:r>
    </w:p>
    <w:p>
      <w:r>
        <w:t>Los archivos de auditoría entregados se resumen así:</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2448"/>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Archivo</w:t>
            </w:r>
          </w:p>
        </w:tc>
        <w:tc>
          <w:tcPr>
            <w:tcW w:type="dxa" w:w="144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Cobertura observada</w:t>
            </w:r>
          </w:p>
        </w:tc>
        <w:tc>
          <w:tcPr>
            <w:tcW w:type="dxa" w:w="5184"/>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Resultado</w:t>
            </w:r>
          </w:p>
        </w:tc>
      </w:tr>
      <w:tr>
        <w:tc>
          <w:tcPr>
            <w:tcW w:type="dxa" w:w="2448"/>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Audit Log (1).csv</w:t>
            </w:r>
          </w:p>
        </w:tc>
        <w:tc>
          <w:tcPr>
            <w:tcW w:type="dxa" w:w="144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QBO 2023</w:t>
            </w:r>
          </w:p>
        </w:tc>
        <w:tc>
          <w:tcPr>
            <w:tcW w:type="dxa" w:w="5184"/>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4,604 eventos únicos relacionados con facturas: 4,044 Created Invoice, 414 Edited Invoice, 123 Voided Invoice, 1 Emailed Invoice y 22 eventos de pagos editados relacionados con invoices.</w:t>
            </w:r>
          </w:p>
        </w:tc>
      </w:tr>
      <w:tr>
        <w:tc>
          <w:tcPr>
            <w:tcW w:type="dxa" w:w="2448"/>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Audit Log (2).csv</w:t>
            </w:r>
          </w:p>
        </w:tc>
        <w:tc>
          <w:tcPr>
            <w:tcW w:type="dxa" w:w="144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QBO 2023</w:t>
            </w:r>
          </w:p>
        </w:tc>
        <w:tc>
          <w:tcPr>
            <w:tcW w:type="dxa" w:w="5184"/>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133 eventos; es subconjunto de Audit Log (1).csv. Incluye 63 Created Invoice y 70 Edited Invoice.</w:t>
            </w:r>
          </w:p>
        </w:tc>
      </w:tr>
      <w:tr>
        <w:tc>
          <w:tcPr>
            <w:tcW w:type="dxa" w:w="2448"/>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Audit Trail.xlsm</w:t>
            </w:r>
          </w:p>
        </w:tc>
        <w:tc>
          <w:tcPr>
            <w:tcW w:type="dxa" w:w="144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QB Desktop</w:t>
            </w:r>
          </w:p>
        </w:tc>
        <w:tc>
          <w:tcPr>
            <w:tcW w:type="dxa" w:w="5184"/>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Contiene muy poco detalle útil de facturas de venta eliminadas/modificadas para 2021-2022; se observan solo dos filas estrictas de sales invoice en el extracto auditado.</w:t>
            </w:r>
          </w:p>
        </w:tc>
      </w:tr>
      <w:tr>
        <w:tc>
          <w:tcPr>
            <w:tcW w:type="dxa" w:w="2448"/>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Tansacciones Borradas o Void QB viejo.xlsm</w:t>
            </w:r>
          </w:p>
        </w:tc>
        <w:tc>
          <w:tcPr>
            <w:tcW w:type="dxa" w:w="144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QB Desktop</w:t>
            </w:r>
          </w:p>
        </w:tc>
        <w:tc>
          <w:tcPr>
            <w:tcW w:type="dxa" w:w="5184"/>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Se usa como respaldo operativo para anulaciones/cambios de facturas de venta en 2021-2022.</w:t>
            </w:r>
          </w:p>
        </w:tc>
      </w:tr>
    </w:tbl>
    <w:p/>
    <w:p>
      <w:pPr>
        <w:pStyle w:val="SourceNote"/>
      </w:pPr>
      <w:r>
        <w:rPr>
          <w:b/>
        </w:rPr>
        <w:t xml:space="preserve">Fuente: </w:t>
      </w:r>
      <w:r>
        <w:t>Audit Log (1).csv, Audit Log (2).csv, Audit Trail.xlsm y Tansacciones Borradas o Void QB viejo.xlsm.</w:t>
      </w:r>
    </w:p>
    <w:p>
      <w:pPr>
        <w:pStyle w:val="Heading1"/>
      </w:pPr>
      <w:r>
        <w:t>g. Explicación del cambio en ventas 2022 y 2023 contra 2021</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340"/>
        <w:gridCol w:w="2340"/>
        <w:gridCol w:w="2340"/>
        <w:gridCol w:w="2340"/>
      </w:tblGrid>
      <w:tr>
        <w:tc>
          <w:tcPr>
            <w:tcW w:type="dxa" w:w="1007"/>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Año</w:t>
            </w:r>
          </w:p>
        </w:tc>
        <w:tc>
          <w:tcPr>
            <w:tcW w:type="dxa" w:w="1728"/>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Ventas GL</w:t>
            </w:r>
          </w:p>
        </w:tc>
        <w:tc>
          <w:tcPr>
            <w:tcW w:type="dxa" w:w="180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Cambio vs año anterior</w:t>
            </w:r>
          </w:p>
        </w:tc>
        <w:tc>
          <w:tcPr>
            <w:tcW w:type="dxa" w:w="432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Comentario</w:t>
            </w:r>
          </w:p>
        </w:tc>
      </w:tr>
      <w:tr>
        <w:tc>
          <w:tcPr>
            <w:tcW w:type="dxa" w:w="1007"/>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2021</w:t>
            </w:r>
          </w:p>
        </w:tc>
        <w:tc>
          <w:tcPr>
            <w:tcW w:type="dxa" w:w="1728"/>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ƒ1,082,539.16</w:t>
            </w:r>
          </w:p>
        </w:tc>
        <w:tc>
          <w:tcPr>
            <w:tcW w:type="dxa" w:w="180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N/A</w:t>
            </w:r>
          </w:p>
        </w:tc>
        <w:tc>
          <w:tcPr>
            <w:tcW w:type="dxa" w:w="432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Año base.</w:t>
            </w:r>
          </w:p>
        </w:tc>
      </w:tr>
      <w:tr>
        <w:tc>
          <w:tcPr>
            <w:tcW w:type="dxa" w:w="1007"/>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2022</w:t>
            </w:r>
          </w:p>
        </w:tc>
        <w:tc>
          <w:tcPr>
            <w:tcW w:type="dxa" w:w="1728"/>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ƒ680,593.98</w:t>
            </w:r>
          </w:p>
        </w:tc>
        <w:tc>
          <w:tcPr>
            <w:tcW w:type="dxa" w:w="180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-ƒ401,945.18</w:t>
            </w:r>
          </w:p>
        </w:tc>
        <w:tc>
          <w:tcPr>
            <w:tcW w:type="dxa" w:w="4320"/>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Las ventas no aumentaron contra 2021; disminuyeron.</w:t>
            </w:r>
          </w:p>
        </w:tc>
      </w:tr>
      <w:tr>
        <w:tc>
          <w:tcPr>
            <w:tcW w:type="dxa" w:w="1007"/>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2023</w:t>
            </w:r>
          </w:p>
        </w:tc>
        <w:tc>
          <w:tcPr>
            <w:tcW w:type="dxa" w:w="1728"/>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ƒ775,091.59</w:t>
            </w:r>
          </w:p>
        </w:tc>
        <w:tc>
          <w:tcPr>
            <w:tcW w:type="dxa" w:w="1800"/>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ƒ94,497.61</w:t>
            </w:r>
          </w:p>
        </w:tc>
        <w:tc>
          <w:tcPr>
            <w:tcW w:type="dxa" w:w="4320"/>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Aumentaron contra 2022, pero permanecen por debajo de 2021.</w:t>
            </w:r>
          </w:p>
        </w:tc>
      </w:tr>
    </w:tbl>
    <w:p/>
    <w:p>
      <w:r>
        <w:t>La variación debe responderse con esta precisión: los registros no muestran un aumento en 2022 frente a 2021. El aumento observado es de 2023 frente a 2022. El libro mayor 2023 presenta las ventas separadas por tipo de producto/servicio, principalmente Smoked and Cooked Sales, Sales Tuna, Sales y Service Sales.</w:t>
      </w:r>
    </w:p>
    <w:p>
      <w:pPr>
        <w:pStyle w:val="SourceNote"/>
      </w:pPr>
      <w:r>
        <w:rPr>
          <w:b/>
        </w:rPr>
        <w:t xml:space="preserve">Fuente: </w:t>
      </w:r>
      <w:r>
        <w:t>General Ledger 2021, 2022 y 2023.</w:t>
      </w:r>
    </w:p>
    <w:p>
      <w:pPr>
        <w:pStyle w:val="Heading1"/>
      </w:pPr>
      <w:r>
        <w:t>h. Saldo inicial de caja</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120"/>
        <w:gridCol w:w="3120"/>
        <w:gridCol w:w="3120"/>
      </w:tblGrid>
      <w:tr>
        <w:tc>
          <w:tcPr>
            <w:tcW w:type="dxa" w:w="2015"/>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Lectura</w:t>
            </w:r>
          </w:p>
        </w:tc>
        <w:tc>
          <w:tcPr>
            <w:tcW w:type="dxa" w:w="504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Cuenta(s)</w:t>
            </w:r>
          </w:p>
        </w:tc>
        <w:tc>
          <w:tcPr>
            <w:tcW w:type="dxa" w:w="1728"/>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Saldo inicial 2021</w:t>
            </w:r>
          </w:p>
        </w:tc>
      </w:tr>
      <w:tr>
        <w:tc>
          <w:tcPr>
            <w:tcW w:type="dxa" w:w="2015"/>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Caja estricta</w:t>
            </w:r>
          </w:p>
        </w:tc>
        <w:tc>
          <w:tcPr>
            <w:tcW w:type="dxa" w:w="504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1000 Petty Cash</w:t>
            </w:r>
          </w:p>
        </w:tc>
        <w:tc>
          <w:tcPr>
            <w:tcW w:type="dxa" w:w="1728"/>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ƒ6,217.10</w:t>
            </w:r>
          </w:p>
        </w:tc>
      </w:tr>
      <w:tr>
        <w:tc>
          <w:tcPr>
            <w:tcW w:type="dxa" w:w="2015"/>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Caja y bancos combinados</w:t>
            </w:r>
          </w:p>
        </w:tc>
        <w:tc>
          <w:tcPr>
            <w:tcW w:type="dxa" w:w="5040"/>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1000 Petty Cash; 1001 Giro Bank; 1002 RBC Bank; 1003 First Caribbean Int. ANG</w:t>
            </w:r>
          </w:p>
        </w:tc>
        <w:tc>
          <w:tcPr>
            <w:tcW w:type="dxa" w:w="1728"/>
            <w:vAlign w:val="center"/>
            <w:tcMar>
              <w:top w:w="80" w:type="dxa"/>
              <w:start w:w="120" w:type="dxa"/>
              <w:bottom w:w="80" w:type="dxa"/>
              <w:end w:w="120" w:type="dxa"/>
            </w:tcMar>
          </w:tcPr>
          <w:p>
            <w:pPr>
              <w:spacing w:after="0"/>
              <w:jc w:val="right"/>
            </w:pPr>
            <w:r>
              <w:rPr>
                <w:rFonts w:ascii="Calibri" w:hAnsi="Calibri"/>
                <w:sz w:val="18"/>
              </w:rPr>
            </w:r>
            <w:r>
              <w:rPr>
                <w:rFonts w:ascii="Calibri" w:hAnsi="Calibri"/>
                <w:b w:val="0"/>
                <w:sz w:val="18"/>
              </w:rPr>
              <w:t>ƒ45,767.94</w:t>
            </w:r>
          </w:p>
        </w:tc>
      </w:tr>
    </w:tbl>
    <w:p/>
    <w:p>
      <w:pPr>
        <w:pStyle w:val="SourceNote"/>
      </w:pPr>
      <w:r>
        <w:rPr>
          <w:b/>
        </w:rPr>
        <w:t xml:space="preserve">Fuente: </w:t>
      </w:r>
      <w:r>
        <w:t>General Ledger 2021, saldos iniciales de cuentas 1000, 1001, 1002 y 1003.</w:t>
      </w:r>
    </w:p>
    <w:p>
      <w:pPr>
        <w:pStyle w:val="Heading1"/>
      </w:pPr>
      <w:r>
        <w:t>i. Ventas exentas o no gravadas</w:t>
      </w:r>
    </w:p>
    <w:tbl>
      <w:tblPr>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9360"/>
      </w:tblGrid>
      <w:tr>
        <w:tc>
          <w:tcPr>
            <w:tcW w:type="dxa" w:w="9360"/>
            <w:shd w:fill="F4F6F9"/>
            <w:tcMar>
              <w:top w:w="120" w:type="dxa"/>
              <w:start w:w="160" w:type="dxa"/>
              <w:bottom w:w="120" w:type="dxa"/>
              <w:end w:w="160" w:type="dxa"/>
            </w:tcMar>
          </w:tcPr>
          <w:p>
            <w:pPr>
              <w:spacing w:after="0"/>
            </w:pPr>
            <w:r>
              <w:rPr>
                <w:rFonts w:ascii="Calibri" w:hAnsi="Calibri"/>
                <w:b/>
                <w:color w:val="1F4D78"/>
                <w:sz w:val="20"/>
              </w:rPr>
              <w:t xml:space="preserve">Respuesta: </w:t>
            </w:r>
            <w:r>
              <w:rPr>
                <w:rFonts w:ascii="Calibri" w:hAnsi="Calibri"/>
                <w:sz w:val="20"/>
              </w:rPr>
              <w:t>Con los archivos entregados no se puede determinar un monto oficial de ventas exentas o no gravadas. Los General Ledger y reportes de facturas usados no contienen tax code, clasificación fiscal por línea, ni un sales tax detail que permita asignar ventas a operaciones exentas/no gravadas con soporte suficiente.</w:t>
            </w:r>
          </w:p>
        </w:tc>
      </w:tr>
    </w:tbl>
    <w:p/>
    <w:p>
      <w:r>
        <w:t>Por lo anterior, no se reporta un importe de ventas exentas/no gravadas. Para responder con monto se requiere un reporte fiscal adicional, por ejemplo un Sales Tax Liability/Detail, reporte de OB, o detalle de facturas con tax code por línea.</w:t>
      </w:r>
    </w:p>
    <w:p>
      <w:pPr>
        <w:pStyle w:val="SourceNote"/>
      </w:pPr>
      <w:r>
        <w:rPr>
          <w:b/>
        </w:rPr>
        <w:t xml:space="preserve">Fuente: </w:t>
      </w:r>
      <w:r>
        <w:t>General Ledger 2021, 2022 y 2023; Sales by Customer Detail. No se observaron campos de clasificación fiscal suficientes.</w:t>
      </w:r>
    </w:p>
    <w:p>
      <w:pPr>
        <w:pStyle w:val="Heading1"/>
      </w:pPr>
      <w:r>
        <w:t>Fuentes por pregunta</w:t>
      </w:r>
    </w:p>
    <w:tbl>
      <w:tblPr>
        <w:tblStyle w:val="TableGrid"/>
        <w:tblW w:type="auto" w:w="0"/>
        <w:jc w:val="center"/>
        <w:tblLayout w:type="fixed"/>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4680"/>
        <w:gridCol w:w="4680"/>
      </w:tblGrid>
      <w:tr>
        <w:tc>
          <w:tcPr>
            <w:tcW w:type="dxa" w:w="1440"/>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Pregunta</w:t>
            </w:r>
          </w:p>
        </w:tc>
        <w:tc>
          <w:tcPr>
            <w:tcW w:type="dxa" w:w="7343"/>
            <w:vAlign w:val="center"/>
            <w:shd w:fill="F2F4F7"/>
            <w:tcMar>
              <w:top w:w="80" w:type="dxa"/>
              <w:start w:w="120" w:type="dxa"/>
              <w:bottom w:w="80" w:type="dxa"/>
              <w:end w:w="120" w:type="dxa"/>
            </w:tcMar>
          </w:tcPr>
          <w:p>
            <w:pPr>
              <w:spacing w:after="0"/>
            </w:pPr>
            <w:r>
              <w:rPr>
                <w:rFonts w:ascii="Calibri" w:hAnsi="Calibri"/>
                <w:sz w:val="18"/>
              </w:rPr>
            </w:r>
            <w:r>
              <w:rPr>
                <w:rFonts w:ascii="Calibri" w:hAnsi="Calibri"/>
                <w:b/>
                <w:color w:val="1F1F1F"/>
                <w:sz w:val="18"/>
              </w:rPr>
              <w:t>Fuentes principales</w:t>
            </w:r>
          </w:p>
        </w:tc>
      </w:tr>
      <w:tr>
        <w:tc>
          <w:tcPr>
            <w:tcW w:type="dxa" w:w="144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a, b, e</w:t>
            </w:r>
          </w:p>
        </w:tc>
        <w:tc>
          <w:tcPr>
            <w:tcW w:type="dxa" w:w="7343"/>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Sales by Customer Detail; Invoices QB Viejo; Transaction List by Customer QB viejo; Tansacciones Borradas o Void QB viejo</w:t>
            </w:r>
          </w:p>
        </w:tc>
      </w:tr>
      <w:tr>
        <w:tc>
          <w:tcPr>
            <w:tcW w:type="dxa" w:w="144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b, c, d, g, h, i</w:t>
            </w:r>
          </w:p>
        </w:tc>
        <w:tc>
          <w:tcPr>
            <w:tcW w:type="dxa" w:w="7343"/>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General Ledger 2021; General Ledger 2022; General Ledger 2023</w:t>
            </w:r>
          </w:p>
        </w:tc>
      </w:tr>
      <w:tr>
        <w:tc>
          <w:tcPr>
            <w:tcW w:type="dxa" w:w="1440"/>
            <w:vAlign w:val="center"/>
            <w:tcMar>
              <w:top w:w="80" w:type="dxa"/>
              <w:start w:w="120" w:type="dxa"/>
              <w:bottom w:w="80" w:type="dxa"/>
              <w:end w:w="120" w:type="dxa"/>
            </w:tcMar>
          </w:tcPr>
          <w:p>
            <w:pPr>
              <w:spacing w:after="0"/>
              <w:jc w:val="center"/>
            </w:pPr>
            <w:r>
              <w:rPr>
                <w:rFonts w:ascii="Calibri" w:hAnsi="Calibri"/>
                <w:sz w:val="18"/>
              </w:rPr>
            </w:r>
            <w:r>
              <w:rPr>
                <w:rFonts w:ascii="Calibri" w:hAnsi="Calibri"/>
                <w:b w:val="0"/>
                <w:sz w:val="18"/>
              </w:rPr>
              <w:t>f</w:t>
            </w:r>
          </w:p>
        </w:tc>
        <w:tc>
          <w:tcPr>
            <w:tcW w:type="dxa" w:w="7343"/>
            <w:vAlign w:val="center"/>
            <w:tcMar>
              <w:top w:w="80" w:type="dxa"/>
              <w:start w:w="120" w:type="dxa"/>
              <w:bottom w:w="80" w:type="dxa"/>
              <w:end w:w="120" w:type="dxa"/>
            </w:tcMar>
          </w:tcPr>
          <w:p>
            <w:pPr>
              <w:spacing w:after="0"/>
              <w:jc w:val="left"/>
            </w:pPr>
            <w:r>
              <w:rPr>
                <w:rFonts w:ascii="Calibri" w:hAnsi="Calibri"/>
                <w:sz w:val="18"/>
              </w:rPr>
            </w:r>
            <w:r>
              <w:rPr>
                <w:rFonts w:ascii="Calibri" w:hAnsi="Calibri"/>
                <w:b w:val="0"/>
                <w:sz w:val="18"/>
              </w:rPr>
              <w:t>Audit Log (1).csv; Audit Log (2).csv; Audit Trail.xlsm; Tansacciones Borradas o Void QB viejo</w:t>
            </w:r>
          </w:p>
        </w:tc>
      </w:tr>
    </w:tbl>
    <w:p/>
    <w:p>
      <w:pPr>
        <w:pStyle w:val="Heading1"/>
      </w:pPr>
      <w:r>
        <w:t>Supuestos aplicados</w:t>
      </w:r>
    </w:p>
    <w:p>
      <w:pPr>
        <w:pStyle w:val="ListBullet"/>
      </w:pPr>
      <w:r>
        <w:t>Las ventas oficiales son las del libro mayor, presentadas como montos positivos.</w:t>
      </w:r>
    </w:p>
    <w:p>
      <w:pPr>
        <w:pStyle w:val="ListBullet"/>
      </w:pPr>
      <w:r>
        <w:t>Los credit memos reducen ventas.</w:t>
      </w:r>
    </w:p>
    <w:p>
      <w:pPr>
        <w:pStyle w:val="ListBullet"/>
      </w:pPr>
      <w:r>
        <w:t>Los recibos de caja/bancos incluyen cobros de clientes y otras entradas; por eso se separan de los cobros contra cuentas por cobrar.</w:t>
      </w:r>
    </w:p>
    <w:p>
      <w:pPr>
        <w:pStyle w:val="ListBullet"/>
      </w:pPr>
      <w:r>
        <w:t>No se asignan ventas a operaciones exentas/no gravadas sin soporte fiscal específico.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Preparado con base en archivos entregados - 11 de mayo de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8"/>
      </w:rPr>
      <w:t>Jomar Foods BV - Respuesta preguntas de ventas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b/>
      <w:color w:val="0B254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120" w:line="264" w:lineRule="auto"/>
    </w:pPr>
    <w:rPr>
      <w:rFonts w:ascii="Calibri" w:hAnsi="Calibr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