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3A76EF" w14:textId="77777777" w:rsidR="00816134" w:rsidRDefault="00000000">
      <w:pPr>
        <w:spacing w:after="60"/>
      </w:pPr>
      <w:r>
        <w:rPr>
          <w:rFonts w:ascii="Arial" w:eastAsia="Arial" w:hAnsi="Arial" w:cs="Arial"/>
          <w:b/>
          <w:bCs/>
          <w:color w:val="2C4A6E"/>
          <w:sz w:val="40"/>
          <w:szCs w:val="40"/>
        </w:rPr>
        <w:t>Proposal for FPA Med</w:t>
      </w:r>
    </w:p>
    <w:p w14:paraId="5FF1A835" w14:textId="77777777" w:rsidR="00816134" w:rsidRDefault="00000000">
      <w:pPr>
        <w:pBdr>
          <w:bottom w:val="single" w:sz="8" w:space="8" w:color="2C4A6E"/>
        </w:pBdr>
        <w:spacing w:after="400"/>
      </w:pPr>
      <w:r>
        <w:rPr>
          <w:rFonts w:ascii="Arial" w:eastAsia="Arial" w:hAnsi="Arial" w:cs="Arial"/>
          <w:i/>
          <w:iCs/>
          <w:color w:val="555555"/>
        </w:rPr>
        <w:t>A Customer-Zero Arrangement</w:t>
      </w:r>
    </w:p>
    <w:p w14:paraId="54CEDCFC" w14:textId="77777777" w:rsidR="00816134" w:rsidRDefault="00000000">
      <w:pPr>
        <w:pStyle w:val="Heading1"/>
      </w:pPr>
      <w:r>
        <w:t>Current State</w:t>
      </w:r>
    </w:p>
    <w:p w14:paraId="1F008052" w14:textId="77777777" w:rsidR="00816134" w:rsidRDefault="00000000">
      <w:pPr>
        <w:spacing w:after="180"/>
      </w:pPr>
      <w:r>
        <w:t>FPA Med entered an enterprise agreement with Box.com with the expectation that Box AI would support several core workflows — specifically: deposition summaries, medical chronologies, and document indexing. The first two were identified because of their potential for monetization; the last for its potential to meaningfully increase operational efficiency. After several weeks of testing, these expectations have not yet been met.</w:t>
      </w:r>
    </w:p>
    <w:p w14:paraId="71479C48" w14:textId="77777777" w:rsidR="00816134" w:rsidRDefault="00000000">
      <w:pPr>
        <w:pStyle w:val="Heading1"/>
      </w:pPr>
      <w:r>
        <w:t>Diagnosis</w:t>
      </w:r>
    </w:p>
    <w:p w14:paraId="634375D5" w14:textId="77777777" w:rsidR="00816134" w:rsidRDefault="00000000">
      <w:pPr>
        <w:spacing w:after="160"/>
      </w:pPr>
      <w:r>
        <w:t>Enterprise AI platforms are designed for general knowledge work — drafting, Q&amp;A, summarization of short documents. For work that requires complete and traceable extraction from large documents, they have a structural limitation that better prompting alone cannot fix.</w:t>
      </w:r>
    </w:p>
    <w:p w14:paraId="2E0C5A00" w14:textId="77777777" w:rsidR="00816134" w:rsidRDefault="00000000">
      <w:pPr>
        <w:spacing w:after="160"/>
      </w:pPr>
      <w:r>
        <w:t>The core issue: when a 300+ page document is handed to a single AI pass, the model's attention distributes unevenly. It produces output that looks complete and reads well — and consistently misses 30 to 40 percent of substantive content, silently, with no indication that anything was skipped. This has been confirmed in peer-reviewed research. For everyday document work, that may be acceptable. For specialized document production or legal review, it often is not.</w:t>
      </w:r>
    </w:p>
    <w:p w14:paraId="2AE581E0" w14:textId="77777777" w:rsidR="00816134" w:rsidRDefault="00000000">
      <w:pPr>
        <w:spacing w:after="180"/>
      </w:pPr>
      <w:r>
        <w:t>The solution today needs to be architectural. Generative AI must operate as a narrowly scoped step — typically recursive — managed by a deliberately constructed software workflow.</w:t>
      </w:r>
    </w:p>
    <w:p w14:paraId="41B439FA" w14:textId="59C3EDF7" w:rsidR="00816134" w:rsidRDefault="002E03A4">
      <w:pPr>
        <w:pStyle w:val="Heading1"/>
      </w:pPr>
      <w:r>
        <w:t>Product Pathway</w:t>
      </w:r>
    </w:p>
    <w:p w14:paraId="3A21103A" w14:textId="77777777" w:rsidR="00816134" w:rsidRDefault="00000000">
      <w:pPr>
        <w:spacing w:after="160"/>
      </w:pPr>
      <w:r>
        <w:t>While working through these limitations alongside your team, I have been building a system that takes the architectural approach described above. It is a working proof-of-concept — not a finished product. It already handles structured extraction and analysis across the two workflows where the need is most acute:</w:t>
      </w:r>
    </w:p>
    <w:p w14:paraId="217843D5" w14:textId="77777777" w:rsidR="00816134" w:rsidRDefault="00000000">
      <w:pPr>
        <w:pStyle w:val="ListParagraph"/>
        <w:numPr>
          <w:ilvl w:val="0"/>
          <w:numId w:val="2"/>
        </w:numPr>
      </w:pPr>
      <w:r>
        <w:rPr>
          <w:b/>
          <w:bCs/>
        </w:rPr>
        <w:t>Deposition summaries</w:t>
      </w:r>
      <w:r>
        <w:t xml:space="preserve"> — processes transcripts page by page, with each page examined in context of its neighbors, then assembles a complete topical index with page-level citations. Every page is accounted for. Nothing is silently skipped. Output includes source citations that link back to the originating page in the original document.</w:t>
      </w:r>
    </w:p>
    <w:p w14:paraId="1DCF1627" w14:textId="77777777" w:rsidR="00816134" w:rsidRDefault="00816134">
      <w:pPr>
        <w:spacing w:after="80"/>
      </w:pPr>
    </w:p>
    <w:p w14:paraId="2C918C7E" w14:textId="77777777" w:rsidR="00816134" w:rsidRDefault="00000000">
      <w:pPr>
        <w:pStyle w:val="ListParagraph"/>
        <w:numPr>
          <w:ilvl w:val="0"/>
          <w:numId w:val="2"/>
        </w:numPr>
      </w:pPr>
      <w:r>
        <w:rPr>
          <w:b/>
          <w:bCs/>
        </w:rPr>
        <w:t>Medical chronologies</w:t>
      </w:r>
      <w:r>
        <w:t xml:space="preserve"> — extracts diagnoses, medications, providers, and treatment decisions from medical record sets, then constructs a timeline with contradiction detection and gap identification across records. Each finding is traced to its source document.</w:t>
      </w:r>
    </w:p>
    <w:p w14:paraId="66C78BB2" w14:textId="77777777" w:rsidR="00816134" w:rsidRDefault="00816134">
      <w:pPr>
        <w:spacing w:after="200"/>
      </w:pPr>
    </w:p>
    <w:p w14:paraId="10472846" w14:textId="77777777" w:rsidR="00816134" w:rsidRDefault="00000000">
      <w:pPr>
        <w:spacing w:after="160"/>
      </w:pPr>
      <w:r>
        <w:t>Each output can be reviewed, edited, and annotated by a practitioner before delivery. The system tracks what the AI produced versus what the expert modified — a distinction that matters for legal defensibility.</w:t>
      </w:r>
    </w:p>
    <w:p w14:paraId="14E0BB88" w14:textId="7F1D8DAA" w:rsidR="00816134" w:rsidRDefault="00000000">
      <w:pPr>
        <w:spacing w:after="160"/>
      </w:pPr>
      <w:r>
        <w:rPr>
          <w:i/>
          <w:iCs/>
          <w:color w:val="555555"/>
          <w:sz w:val="20"/>
          <w:szCs w:val="20"/>
        </w:rPr>
        <w:lastRenderedPageBreak/>
        <w:t>PDF</w:t>
      </w:r>
      <w:r w:rsidR="007A36C3">
        <w:rPr>
          <w:i/>
          <w:iCs/>
          <w:color w:val="555555"/>
          <w:sz w:val="20"/>
          <w:szCs w:val="20"/>
        </w:rPr>
        <w:t>,</w:t>
      </w:r>
      <w:r>
        <w:rPr>
          <w:i/>
          <w:iCs/>
          <w:color w:val="555555"/>
          <w:sz w:val="20"/>
          <w:szCs w:val="20"/>
        </w:rPr>
        <w:t xml:space="preserve"> image ingestion</w:t>
      </w:r>
      <w:r w:rsidR="007A36C3">
        <w:rPr>
          <w:i/>
          <w:iCs/>
          <w:color w:val="555555"/>
          <w:sz w:val="20"/>
          <w:szCs w:val="20"/>
        </w:rPr>
        <w:t xml:space="preserve"> and transformation</w:t>
      </w:r>
      <w:r>
        <w:rPr>
          <w:i/>
          <w:iCs/>
          <w:color w:val="555555"/>
          <w:sz w:val="20"/>
          <w:szCs w:val="20"/>
        </w:rPr>
        <w:t xml:space="preserve"> is handled by </w:t>
      </w:r>
      <w:proofErr w:type="spellStart"/>
      <w:r>
        <w:rPr>
          <w:i/>
          <w:iCs/>
          <w:color w:val="555555"/>
          <w:sz w:val="20"/>
          <w:szCs w:val="20"/>
        </w:rPr>
        <w:t>Docling</w:t>
      </w:r>
      <w:proofErr w:type="spellEnd"/>
      <w:r>
        <w:rPr>
          <w:i/>
          <w:iCs/>
          <w:color w:val="555555"/>
          <w:sz w:val="20"/>
          <w:szCs w:val="20"/>
        </w:rPr>
        <w:t xml:space="preserve">, a document AI library developed by IBM Research. High-fidelity extraction is powered by </w:t>
      </w:r>
      <w:proofErr w:type="spellStart"/>
      <w:r>
        <w:rPr>
          <w:i/>
          <w:iCs/>
          <w:color w:val="555555"/>
          <w:sz w:val="20"/>
          <w:szCs w:val="20"/>
        </w:rPr>
        <w:t>DocETL</w:t>
      </w:r>
      <w:proofErr w:type="spellEnd"/>
      <w:r>
        <w:rPr>
          <w:i/>
          <w:iCs/>
          <w:color w:val="555555"/>
          <w:sz w:val="20"/>
          <w:szCs w:val="20"/>
        </w:rPr>
        <w:t>, an open-source library created by the EPIC Data Lab and Data Systems and Foundations group at UC Berkeley.</w:t>
      </w:r>
    </w:p>
    <w:p w14:paraId="0C87096E" w14:textId="77777777" w:rsidR="00816134" w:rsidRDefault="00000000">
      <w:pPr>
        <w:spacing w:after="180"/>
      </w:pPr>
      <w:r>
        <w:rPr>
          <w:b/>
          <w:bCs/>
        </w:rPr>
        <w:t>This exists today. It was built, in part, because of what I observed while testing your workflows in Box AI.</w:t>
      </w:r>
    </w:p>
    <w:p w14:paraId="33817D34" w14:textId="7895C593" w:rsidR="00816134" w:rsidRDefault="00000000">
      <w:pPr>
        <w:pStyle w:val="Heading2"/>
      </w:pPr>
      <w:r>
        <w:t>Document Indexing</w:t>
      </w:r>
    </w:p>
    <w:p w14:paraId="09AD0F3B" w14:textId="680398A3" w:rsidR="00816134" w:rsidRDefault="00000000">
      <w:pPr>
        <w:spacing w:after="200"/>
      </w:pPr>
      <w:r>
        <w:t xml:space="preserve">Document indexing is a different </w:t>
      </w:r>
      <w:r w:rsidR="002E03A4">
        <w:t>feature</w:t>
      </w:r>
      <w:r w:rsidR="007A36C3">
        <w:t xml:space="preserve"> set</w:t>
      </w:r>
      <w:r>
        <w:t xml:space="preserve">, but one the same architecture should handle well. Each document in a set would be processed individually to extract structured metadata: </w:t>
      </w:r>
      <w:r w:rsidR="002E03A4">
        <w:t xml:space="preserve">file name, </w:t>
      </w:r>
      <w:r>
        <w:t xml:space="preserve">date, document type, page count, subject, key terms. Software would then assemble the index. </w:t>
      </w:r>
      <w:r w:rsidR="002E03A4">
        <w:t xml:space="preserve">Box.ai does not support this today. </w:t>
      </w:r>
      <w:r>
        <w:t>Given that this represents meaningful operational leverage, it is worth considering as a third workflow.</w:t>
      </w:r>
    </w:p>
    <w:p w14:paraId="4F2E0E05" w14:textId="77777777" w:rsidR="00816134" w:rsidRDefault="00000000">
      <w:pPr>
        <w:pStyle w:val="Heading1"/>
      </w:pPr>
      <w:r>
        <w:t>Proposal: A Pivot</w:t>
      </w:r>
    </w:p>
    <w:p w14:paraId="34DCA983" w14:textId="1EE82BA7" w:rsidR="00816134" w:rsidRDefault="00000000">
      <w:pPr>
        <w:spacing w:after="160"/>
      </w:pPr>
      <w:r>
        <w:t xml:space="preserve">I </w:t>
      </w:r>
      <w:r w:rsidR="002E03A4">
        <w:t>propose</w:t>
      </w:r>
      <w:r>
        <w:t xml:space="preserve"> to build this — </w:t>
      </w:r>
      <w:r w:rsidR="002E03A4">
        <w:t>a</w:t>
      </w:r>
      <w:r>
        <w:t xml:space="preserve"> production-ready version of these three workflows, defined together with your team, against acceptance criteria we agree on in advance.</w:t>
      </w:r>
    </w:p>
    <w:p w14:paraId="105FDC50" w14:textId="77777777" w:rsidR="00816134" w:rsidRDefault="00000000">
      <w:pPr>
        <w:spacing w:after="200"/>
      </w:pPr>
      <w:r>
        <w:t xml:space="preserve">The development cost to FPA Med: </w:t>
      </w:r>
      <w:r>
        <w:rPr>
          <w:b/>
          <w:bCs/>
        </w:rPr>
        <w:t>nothing.</w:t>
      </w:r>
    </w:p>
    <w:p w14:paraId="489394BF" w14:textId="36F212E0" w:rsidR="00816134" w:rsidRDefault="00000000">
      <w:pPr>
        <w:spacing w:after="160"/>
      </w:pPr>
      <w:r>
        <w:t>I propos</w:t>
      </w:r>
      <w:r w:rsidR="002E03A4">
        <w:t>e</w:t>
      </w:r>
      <w:r>
        <w:t xml:space="preserve"> a customer-zero arrangement. You bring the practitioner judgment to evaluate whether the output is good enough. I bring the product engineering and the architecture. We work transparently, with full visibility into what is being built and why.</w:t>
      </w:r>
    </w:p>
    <w:p w14:paraId="60BE3941" w14:textId="35E54C60" w:rsidR="00816134" w:rsidRDefault="00000000">
      <w:pPr>
        <w:spacing w:after="160"/>
      </w:pPr>
      <w:r>
        <w:t xml:space="preserve">There are subscription-based tools entering this space. What I am proposing is different: custom-built workflows, no ongoing licensing cost, </w:t>
      </w:r>
      <w:r w:rsidR="002E03A4">
        <w:t>outcome-based</w:t>
      </w:r>
      <w:r w:rsidR="00881856">
        <w:t xml:space="preserve"> economics.</w:t>
      </w:r>
    </w:p>
    <w:p w14:paraId="7CA75298" w14:textId="5D4F238D" w:rsidR="00816134" w:rsidRDefault="00000000">
      <w:pPr>
        <w:spacing w:after="160"/>
      </w:pPr>
      <w:r>
        <w:t xml:space="preserve">If the system meets an acceptable level of satisfaction — defined by </w:t>
      </w:r>
      <w:r w:rsidR="007A36C3">
        <w:t xml:space="preserve">the </w:t>
      </w:r>
      <w:r>
        <w:t xml:space="preserve">criteria we set together before </w:t>
      </w:r>
      <w:r w:rsidR="007A36C3">
        <w:t>my team</w:t>
      </w:r>
      <w:r>
        <w:t xml:space="preserve"> build</w:t>
      </w:r>
      <w:r w:rsidR="007A36C3">
        <w:t>s</w:t>
      </w:r>
      <w:r>
        <w:t xml:space="preserve"> anything — then we have a conversation about </w:t>
      </w:r>
      <w:r w:rsidR="00881856">
        <w:t>monetization</w:t>
      </w:r>
      <w:r>
        <w:t xml:space="preserve">. Some of these workflows carry direct costs </w:t>
      </w:r>
      <w:r w:rsidR="003D03BD">
        <w:t xml:space="preserve">to FPA Med </w:t>
      </w:r>
      <w:r>
        <w:t xml:space="preserve">today, paid to incumbent service providers, where a purpose-built system could deliver the same output for </w:t>
      </w:r>
      <w:r w:rsidRPr="003D03BD">
        <w:rPr>
          <w:i/>
          <w:iCs/>
        </w:rPr>
        <w:t>significantly</w:t>
      </w:r>
      <w:r>
        <w:t xml:space="preserve"> less. That is a potential profit center for both of us, not just a cost reduction for FPA Med.</w:t>
      </w:r>
    </w:p>
    <w:p w14:paraId="3A188535" w14:textId="77777777" w:rsidR="00816134" w:rsidRDefault="00000000">
      <w:pPr>
        <w:spacing w:after="200"/>
      </w:pPr>
      <w:r>
        <w:rPr>
          <w:b/>
          <w:bCs/>
        </w:rPr>
        <w:t>If it does not meet the bar, you have lost nothing. No fees, no obligation.</w:t>
      </w:r>
    </w:p>
    <w:p w14:paraId="59BB22FC" w14:textId="77777777" w:rsidR="00816134" w:rsidRDefault="00000000">
      <w:pPr>
        <w:pStyle w:val="Heading1"/>
      </w:pPr>
      <w:r>
        <w:t>Next Step</w:t>
      </w:r>
    </w:p>
    <w:p w14:paraId="7B3A0A7D" w14:textId="58050E48" w:rsidR="00816134" w:rsidRDefault="00000000">
      <w:pPr>
        <w:spacing w:after="160"/>
      </w:pPr>
      <w:r>
        <w:t>If this is worth a conversation, I suggest a working session —</w:t>
      </w:r>
      <w:r w:rsidR="003D03BD">
        <w:t xml:space="preserve"> </w:t>
      </w:r>
      <w:r>
        <w:t xml:space="preserve">I show you what exists today, and we define </w:t>
      </w:r>
      <w:r w:rsidR="003D03BD">
        <w:t xml:space="preserve">requirements: </w:t>
      </w:r>
      <w:r>
        <w:t>what “good enough” looks like for each one.</w:t>
      </w:r>
    </w:p>
    <w:p w14:paraId="7CB161A8" w14:textId="0CB6EE01" w:rsidR="00816134" w:rsidRDefault="00000000">
      <w:r>
        <w:t>From there, we agree on scope, acceptance criteria, and timeline.</w:t>
      </w:r>
    </w:p>
    <w:sectPr w:rsidR="00816134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7896884"/>
    <w:multiLevelType w:val="hybridMultilevel"/>
    <w:tmpl w:val="5D1095C4"/>
    <w:lvl w:ilvl="0" w:tplc="EF5403D6">
      <w:start w:val="1"/>
      <w:numFmt w:val="bullet"/>
      <w:lvlText w:val="●"/>
      <w:lvlJc w:val="left"/>
      <w:pPr>
        <w:ind w:left="720" w:hanging="360"/>
      </w:pPr>
    </w:lvl>
    <w:lvl w:ilvl="1" w:tplc="641AAD0A">
      <w:start w:val="1"/>
      <w:numFmt w:val="bullet"/>
      <w:lvlText w:val="○"/>
      <w:lvlJc w:val="left"/>
      <w:pPr>
        <w:ind w:left="1440" w:hanging="360"/>
      </w:pPr>
    </w:lvl>
    <w:lvl w:ilvl="2" w:tplc="E5C68ABE">
      <w:start w:val="1"/>
      <w:numFmt w:val="bullet"/>
      <w:lvlText w:val="■"/>
      <w:lvlJc w:val="left"/>
      <w:pPr>
        <w:ind w:left="2160" w:hanging="360"/>
      </w:pPr>
    </w:lvl>
    <w:lvl w:ilvl="3" w:tplc="42BED988">
      <w:start w:val="1"/>
      <w:numFmt w:val="bullet"/>
      <w:lvlText w:val="●"/>
      <w:lvlJc w:val="left"/>
      <w:pPr>
        <w:ind w:left="2880" w:hanging="360"/>
      </w:pPr>
    </w:lvl>
    <w:lvl w:ilvl="4" w:tplc="AF8E5A88">
      <w:start w:val="1"/>
      <w:numFmt w:val="bullet"/>
      <w:lvlText w:val="○"/>
      <w:lvlJc w:val="left"/>
      <w:pPr>
        <w:ind w:left="3600" w:hanging="360"/>
      </w:pPr>
    </w:lvl>
    <w:lvl w:ilvl="5" w:tplc="7FFC6BA2">
      <w:start w:val="1"/>
      <w:numFmt w:val="bullet"/>
      <w:lvlText w:val="■"/>
      <w:lvlJc w:val="left"/>
      <w:pPr>
        <w:ind w:left="4320" w:hanging="360"/>
      </w:pPr>
    </w:lvl>
    <w:lvl w:ilvl="6" w:tplc="9CD4E79C">
      <w:start w:val="1"/>
      <w:numFmt w:val="bullet"/>
      <w:lvlText w:val="●"/>
      <w:lvlJc w:val="left"/>
      <w:pPr>
        <w:ind w:left="5040" w:hanging="360"/>
      </w:pPr>
    </w:lvl>
    <w:lvl w:ilvl="7" w:tplc="FE3044E0">
      <w:start w:val="1"/>
      <w:numFmt w:val="bullet"/>
      <w:lvlText w:val="●"/>
      <w:lvlJc w:val="left"/>
      <w:pPr>
        <w:ind w:left="5760" w:hanging="360"/>
      </w:pPr>
    </w:lvl>
    <w:lvl w:ilvl="8" w:tplc="AA1EDB62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56CB02A6"/>
    <w:multiLevelType w:val="hybridMultilevel"/>
    <w:tmpl w:val="8E502B22"/>
    <w:lvl w:ilvl="0" w:tplc="3DE019B2">
      <w:start w:val="1"/>
      <w:numFmt w:val="bullet"/>
      <w:lvlText w:val="–"/>
      <w:lvlJc w:val="left"/>
      <w:pPr>
        <w:spacing w:after="80"/>
        <w:ind w:left="560" w:hanging="280"/>
      </w:pPr>
      <w:rPr>
        <w:rFonts w:ascii="Arial" w:eastAsia="Arial" w:hAnsi="Arial" w:cs="Arial"/>
        <w:color w:val="555555"/>
      </w:rPr>
    </w:lvl>
    <w:lvl w:ilvl="1" w:tplc="2AC4066E">
      <w:numFmt w:val="decimal"/>
      <w:lvlText w:val=""/>
      <w:lvlJc w:val="left"/>
    </w:lvl>
    <w:lvl w:ilvl="2" w:tplc="FD3C69D4">
      <w:numFmt w:val="decimal"/>
      <w:lvlText w:val=""/>
      <w:lvlJc w:val="left"/>
    </w:lvl>
    <w:lvl w:ilvl="3" w:tplc="64720276">
      <w:numFmt w:val="decimal"/>
      <w:lvlText w:val=""/>
      <w:lvlJc w:val="left"/>
    </w:lvl>
    <w:lvl w:ilvl="4" w:tplc="A5403A4E">
      <w:numFmt w:val="decimal"/>
      <w:lvlText w:val=""/>
      <w:lvlJc w:val="left"/>
    </w:lvl>
    <w:lvl w:ilvl="5" w:tplc="4EAED512">
      <w:numFmt w:val="decimal"/>
      <w:lvlText w:val=""/>
      <w:lvlJc w:val="left"/>
    </w:lvl>
    <w:lvl w:ilvl="6" w:tplc="D120744E">
      <w:numFmt w:val="decimal"/>
      <w:lvlText w:val=""/>
      <w:lvlJc w:val="left"/>
    </w:lvl>
    <w:lvl w:ilvl="7" w:tplc="45AC443C">
      <w:numFmt w:val="decimal"/>
      <w:lvlText w:val=""/>
      <w:lvlJc w:val="left"/>
    </w:lvl>
    <w:lvl w:ilvl="8" w:tplc="35881448">
      <w:numFmt w:val="decimal"/>
      <w:lvlText w:val=""/>
      <w:lvlJc w:val="left"/>
    </w:lvl>
  </w:abstractNum>
  <w:num w:numId="1" w16cid:durableId="923101907">
    <w:abstractNumId w:val="0"/>
    <w:lvlOverride w:ilvl="0">
      <w:startOverride w:val="1"/>
    </w:lvlOverride>
  </w:num>
  <w:num w:numId="2" w16cid:durableId="1088037785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16134"/>
    <w:rsid w:val="002E03A4"/>
    <w:rsid w:val="003D03BD"/>
    <w:rsid w:val="005A6187"/>
    <w:rsid w:val="00724AB6"/>
    <w:rsid w:val="007A36C3"/>
    <w:rsid w:val="00816134"/>
    <w:rsid w:val="008818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B6C0EE4"/>
  <w15:docId w15:val="{CE4F0F90-1EB6-0C44-B7E7-4AFAE0DB6B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Georgia" w:eastAsia="Georgia" w:hAnsi="Georgia" w:cs="Georgia"/>
        <w:color w:val="1A1A1A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pBdr>
        <w:bottom w:val="single" w:sz="4" w:space="6" w:color="CCCCCC"/>
      </w:pBdr>
      <w:spacing w:before="360" w:after="120"/>
      <w:outlineLvl w:val="0"/>
    </w:pPr>
    <w:rPr>
      <w:rFonts w:ascii="Arial" w:eastAsia="Arial" w:hAnsi="Arial" w:cs="Arial"/>
      <w:b/>
      <w:bCs/>
      <w:color w:val="2C4A6E"/>
      <w:sz w:val="28"/>
      <w:szCs w:val="28"/>
    </w:rPr>
  </w:style>
  <w:style w:type="paragraph" w:styleId="Heading2">
    <w:name w:val="heading 2"/>
    <w:uiPriority w:val="9"/>
    <w:unhideWhenUsed/>
    <w:qFormat/>
    <w:pPr>
      <w:spacing w:before="280" w:after="100"/>
      <w:outlineLvl w:val="1"/>
    </w:pPr>
    <w:rPr>
      <w:rFonts w:ascii="Arial" w:eastAsia="Arial" w:hAnsi="Arial" w:cs="Arial"/>
      <w:b/>
      <w:bCs/>
      <w:sz w:val="24"/>
      <w:szCs w:val="24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714</Words>
  <Characters>4073</Characters>
  <Application>Microsoft Office Word</Application>
  <DocSecurity>0</DocSecurity>
  <Lines>33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Jude Hoffner</cp:lastModifiedBy>
  <cp:revision>2</cp:revision>
  <dcterms:created xsi:type="dcterms:W3CDTF">2026-03-13T22:26:00Z</dcterms:created>
  <dcterms:modified xsi:type="dcterms:W3CDTF">2026-03-13T22:26:00Z</dcterms:modified>
</cp:coreProperties>
</file>