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 Background"/>
            <a:graphic xmlns:a="http://schemas.openxmlformats.org/drawingml/2006/main" xmlns:pic="http://schemas.openxmlformats.org/drawingml/2006/picture">
              <a:graphicData uri="http://schemas.openxmlformats.org/drawingml/2006/picture">
                <pic:pic>
                  <pic:nvPicPr>
                    <pic:cNvPr id="0" name="cover_background.jpg"/>
                    <pic:cNvPicPr/>
                  </pic:nvPicPr>
                  <pic:blipFill>
                    <a:blip r:embed="rId9"/>
                    <a:stretch>
                      <a:fillRect/>
                    </a:stretch>
                  </pic:blipFill>
                  <pic:spPr>
                    <a:xfrm>
                      <a:off x="0" y="0"/>
                      <a:ext cx="7560000" cy="10692000"/>
                    </a:xfrm>
                    <a:prstGeom prst="rect"/>
                  </pic:spPr>
                </pic:pic>
              </a:graphicData>
            </a:graphic>
          </wp:anchor>
        </w:drawing>
      </w:r>
    </w:p>
    <w:p>
      <w:pPr>
        <w:spacing w:after="0"/>
        <w:jc w:val="right"/>
      </w:pPr>
      <w:r>
        <w:drawing>
          <wp:inline xmlns:a="http://schemas.openxmlformats.org/drawingml/2006/main" xmlns:pic="http://schemas.openxmlformats.org/drawingml/2006/picture">
            <wp:extent cx="2880000" cy="2880000"/>
            <wp:docPr id="2" name="Picture 2"/>
            <wp:cNvGraphicFramePr>
              <a:graphicFrameLocks noChangeAspect="1"/>
            </wp:cNvGraphicFramePr>
            <a:graphic>
              <a:graphicData uri="http://schemas.openxmlformats.org/drawingml/2006/picture">
                <pic:pic>
                  <pic:nvPicPr>
                    <pic:cNvPr id="0" name="jman_logo_white.png"/>
                    <pic:cNvPicPr/>
                  </pic:nvPicPr>
                  <pic:blipFill>
                    <a:blip r:embed="rId10"/>
                    <a:stretch>
                      <a:fillRect/>
                    </a:stretch>
                  </pic:blipFill>
                  <pic:spPr>
                    <a:xfrm>
                      <a:off x="0" y="0"/>
                      <a:ext cx="2880000" cy="2880000"/>
                    </a:xfrm>
                    <a:prstGeom prst="rect"/>
                  </pic:spPr>
                </pic:pic>
              </a:graphicData>
            </a:graphic>
          </wp:inline>
        </w:drawing>
      </w:r>
    </w:p>
    <w:p>
      <w:pPr>
        <w:spacing w:after="4200"/>
      </w:pPr>
    </w:p>
    <w:p>
      <w:pPr>
        <w:pBdr>
          <w:bottom w:val="single" w:sz="4" w:space="4" w:color="FFFFFF"/>
        </w:pBdr>
        <w:spacing w:after="240"/>
      </w:pPr>
    </w:p>
    <w:p>
      <w:pPr>
        <w:spacing w:after="280"/>
      </w:pPr>
      <w:r>
        <w:rPr>
          <w:rFonts w:ascii="Arial" w:hAnsi="Arial"/>
          <w:b/>
          <w:i w:val="0"/>
          <w:color w:val="FF6196"/>
          <w:sz w:val="30"/>
        </w:rPr>
        <w:t>STATEMENT OF WORK BETWEEN</w:t>
      </w:r>
    </w:p>
    <w:p>
      <w:pPr>
        <w:spacing w:after="120"/>
      </w:pPr>
      <w:r>
        <w:rPr>
          <w:rFonts w:ascii="Arial" w:hAnsi="Arial"/>
          <w:b/>
          <w:i w:val="0"/>
          <w:color w:val="173845"/>
          <w:sz w:val="60"/>
        </w:rPr>
        <w:t>Client</w:t>
      </w:r>
    </w:p>
    <w:p>
      <w:pPr>
        <w:spacing w:after="120"/>
      </w:pPr>
      <w:r>
        <w:rPr>
          <w:rFonts w:ascii="Arial" w:hAnsi="Arial"/>
          <w:b w:val="0"/>
          <w:i/>
          <w:color w:val="808080"/>
          <w:sz w:val="32"/>
        </w:rPr>
        <w:t>And</w:t>
      </w:r>
    </w:p>
    <w:p>
      <w:pPr>
        <w:spacing w:after="0"/>
      </w:pPr>
      <w:r>
        <w:rPr>
          <w:rFonts w:ascii="Arial" w:hAnsi="Arial"/>
          <w:b/>
          <w:i w:val="0"/>
          <w:color w:val="173845"/>
          <w:sz w:val="60"/>
        </w:rPr>
        <w:t>JMAN Group</w:t>
      </w:r>
    </w:p>
    <w:p>
      <w:pPr>
        <w:sectPr>
          <w:pgSz w:w="11906" w:h="16838"/>
          <w:pgMar w:top="567" w:right="992" w:bottom="567" w:left="992" w:header="720" w:footer="720" w:gutter="0"/>
          <w:cols w:space="720"/>
          <w:docGrid w:linePitch="360"/>
        </w:sectPr>
      </w:pPr>
    </w:p>
    <w:p>
      <w:pPr>
        <w:tabs>
          <w:tab w:pos="578" w:val="left"/>
        </w:tabs>
        <w:spacing w:before="280" w:after="160"/>
        <w:ind w:left="578" w:hanging="578"/>
      </w:pPr>
      <w:r>
        <w:rPr>
          <w:rFonts w:ascii="Arial" w:hAnsi="Arial"/>
          <w:b/>
          <w:i w:val="0"/>
          <w:color w:val="19105B"/>
          <w:sz w:val="24"/>
        </w:rPr>
        <w:t>1</w:t>
        <w:tab/>
      </w:r>
      <w:r>
        <w:rPr>
          <w:rFonts w:ascii="Arial" w:hAnsi="Arial"/>
          <w:b/>
          <w:i w:val="0"/>
          <w:color w:val="19105B"/>
          <w:sz w:val="24"/>
        </w:rPr>
        <w:t>Business Context</w:t>
      </w:r>
    </w:p>
    <w:p>
      <w:pPr>
        <w:spacing w:after="80"/>
      </w:pPr>
    </w:p>
    <w:p>
      <w:pPr>
        <w:spacing w:after="160" w:line="276" w:lineRule="auto"/>
      </w:pPr>
      <w:r>
        <w:rPr>
          <w:rFonts w:ascii="Arial" w:hAnsi="Arial"/>
          <w:b w:val="0"/>
          <w:i w:val="0"/>
          <w:color w:val="1D1C1C"/>
          <w:sz w:val="20"/>
        </w:rPr>
        <w:t>PURE FINANCIAL ADVISORS LLC operates in the United States as a provider of financial advisory and wealth management services, offering comprehensive asset management solutions directly to consumers. Key business stakeholders include Jason Carver, serving as Client Engagement Manager, and Lee Equity Partners as investment partner. The company utilizes a B2C business model and currently leverages platforms such as Salesforce, Tamarac, Microsoft Fabric, Azure Synapse, Power BI, and Azure Blob Storage for its data, technology, and marketing processes, with QuickBooks soon to be integrated.</w:t>
      </w:r>
    </w:p>
    <w:p>
      <w:pPr>
        <w:spacing w:after="80"/>
      </w:pPr>
    </w:p>
    <w:p>
      <w:pPr>
        <w:spacing w:after="160" w:line="276" w:lineRule="auto"/>
      </w:pPr>
      <w:r>
        <w:rPr>
          <w:rFonts w:ascii="Arial" w:hAnsi="Arial"/>
          <w:b w:val="0"/>
          <w:i w:val="0"/>
          <w:color w:val="1D1C1C"/>
          <w:sz w:val="20"/>
        </w:rPr>
        <w:t>Driven by the need for greater visibility into the customer journey and marketing effectiveness, Pure Financial Advisors aims to develop a robust Lead-to-AUM (L2A) pipeline and customer acquisition cost (CAC) reporting suite. Existing pipeline reporting lacks granularity, resulting in limited insight into lead conversion and return on marketing spend. The initiative prioritizes automating data ingestion and transformation pipelines—especially batch processing within Microsoft Fabric—to deliver enhanced Power BI dashboards with granular KPI definitions. Integration with QuickBooks and data quality assessment are recognized as key dependencies.</w:t>
      </w:r>
    </w:p>
    <w:p>
      <w:pPr>
        <w:spacing w:after="80"/>
      </w:pPr>
    </w:p>
    <w:p>
      <w:pPr>
        <w:spacing w:after="160" w:line="276" w:lineRule="auto"/>
      </w:pPr>
      <w:r>
        <w:rPr>
          <w:rFonts w:ascii="Arial" w:hAnsi="Arial"/>
          <w:b w:val="0"/>
          <w:i w:val="0"/>
          <w:color w:val="1D1C1C"/>
          <w:sz w:val="20"/>
        </w:rPr>
        <w:t>Strategically, this project is designed to drive data maturity and support scalable reporting, empowering leadership with actionable insights into pipeline performance and marketing ROI. The engagement is structured in defined phases, with an expectation for technical deliverables such as a KPI Book, Power BI mock-ups, and a comprehensive data model. Successful implementation will enable Pure Financial Advisors to make informed decisions, enhance process efficiency, and sustain future business growth by integrating accurate L2A and CAC reporting directly into their analytics suite.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2</w:t>
        <w:tab/>
      </w:r>
      <w:r>
        <w:rPr>
          <w:rFonts w:ascii="Arial" w:hAnsi="Arial"/>
          <w:b/>
          <w:i w:val="0"/>
          <w:color w:val="19105B"/>
          <w:sz w:val="24"/>
        </w:rPr>
        <w:t>Overview</w:t>
      </w:r>
    </w:p>
    <w:p>
      <w:pPr>
        <w:spacing w:after="80"/>
      </w:pPr>
    </w:p>
    <w:p>
      <w:pPr>
        <w:spacing w:after="160" w:line="276" w:lineRule="auto"/>
      </w:pPr>
      <w:r>
        <w:rPr>
          <w:rFonts w:ascii="Arial" w:hAnsi="Arial"/>
          <w:b w:val="0"/>
          <w:i w:val="0"/>
          <w:color w:val="1D1C1C"/>
          <w:sz w:val="20"/>
        </w:rPr>
        <w:t>The data, technology, and marketing teams at PURE FINANCIAL ADVISORS LLC are actively engaged in pipeline and customer acquisition reporting, working collaboratively across multiple functions. Central to current operations are several integrated systems and platforms: Salesforce and Tamarac for client and portfolio management, Azure Blob Storage for data retention, and Microsoft Fabric and Azure Synapse for data processing and analytics infrastructure. QuickBooks is also present within the data ecosystem and is earmarked for integration to support financial tracking and reporting workflows.</w:t>
      </w:r>
    </w:p>
    <w:p>
      <w:pPr>
        <w:spacing w:after="80"/>
      </w:pPr>
    </w:p>
    <w:p>
      <w:pPr>
        <w:spacing w:after="160" w:line="276" w:lineRule="auto"/>
      </w:pPr>
      <w:r>
        <w:rPr>
          <w:rFonts w:ascii="Arial" w:hAnsi="Arial"/>
          <w:b w:val="0"/>
          <w:i w:val="0"/>
          <w:color w:val="1D1C1C"/>
          <w:sz w:val="20"/>
        </w:rPr>
        <w:t>Power BI serves as the primary reporting and analytics tool, offering visualization and dashboarding capabilities based on data sourced from Salesforce, Tamarac, Azure Blob Storage, and QuickBooks. The cloud and platform infrastructure is anchored by Microsoft Fabric alongside Azure Synapse, supporting batch processing pipelines. Existing operations include a need to connect data from QuickBooks and assess data quality for Customer Acquisition Cost reporting, highlighting current integration challenges. No manual processes were indicated in the questionnaire, nor were data governance policies or performance issues mentioned.</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3</w:t>
        <w:tab/>
      </w:r>
      <w:r>
        <w:rPr>
          <w:rFonts w:ascii="Arial" w:hAnsi="Arial"/>
          <w:b/>
          <w:i w:val="0"/>
          <w:color w:val="19105B"/>
          <w:sz w:val="24"/>
        </w:rPr>
        <w:t>Understanding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Limited granularity in existing pipeline reporting prevents detailed visibility across the lead-to-AUM journey and marketing spend attribution.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Current reporting lacks integrated and accurate insights into Customer Acquisition Cost (CAC), impacting the ability to measure marketing ROI.</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There is a requirement to enhance the Lead-to-AUM (L2A) and CAC data model to support more sophisticated reporting and analytics.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Mandatory integration and automated data ingestion are needed for QuickBooks and Salesforce to unify pipeline, cost, and financial data.</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Data quality issues must be assessed and addressed, especially regarding CAC reporting dependent on combined financial and operational data sources.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Automated data ingestion and transformation pipelines are required to enable consistent, up-to-date L2A and CAC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 system will be used by data and technology stakeholders, senior leadership, and marketing teams for reporting and decision-making.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Timely delivery is constrained by dependencies on QuickBooks integration and completion of data quality assessments.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4</w:t>
        <w:tab/>
      </w:r>
      <w:r>
        <w:rPr>
          <w:rFonts w:ascii="Arial" w:hAnsi="Arial"/>
          <w:b/>
          <w:i w:val="0"/>
          <w:color w:val="19105B"/>
          <w:sz w:val="24"/>
        </w:rPr>
        <w:t>Objectives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 comprehensive Lead-to-AUM and Customer Acquisition Cost (CAC) data models and a reporting suite that provide granular insights into pipeline performance and marketing return on investment (ROI).</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 data ingestion, transformation, and reporting refresh processes to ensure timely and accurate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Enable leadership to gain a clear and actionable understanding of the customer journey from lead to asset under management and the effectiveness of marketing spend.</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Enhance the user experience by improving Power BI dashboards with intuitive visualizations and clearly defined key performance indicators (KPIs).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Strengthen pipeline reporting and customer acquisition cost tracking to support informed decision-making and business growth.</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Establish a scalable data and reporting platform that can accommodate future data sources and evolving business requirements.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Integrate seamlessly with Salesforce, QuickBooks, Tamarac, Microsoft Fabric, and Azure Synapse to unify all relevant data within the reporting framework.</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5</w:t>
        <w:tab/>
      </w:r>
      <w:r>
        <w:rPr>
          <w:rFonts w:ascii="Arial" w:hAnsi="Arial"/>
          <w:b/>
          <w:i w:val="0"/>
          <w:color w:val="19105B"/>
          <w:sz w:val="24"/>
        </w:rPr>
        <w:t>Deliverables</w:t>
      </w:r>
    </w:p>
    <w:p>
      <w:pPr>
        <w:spacing w:after="80"/>
      </w:pPr>
    </w:p>
    <w:p>
      <w:pPr>
        <w:spacing w:after="160" w:line="276" w:lineRule="auto"/>
      </w:pPr>
      <w:r>
        <w:rPr>
          <w:rFonts w:ascii="Arial" w:hAnsi="Arial"/>
          <w:b w:val="0"/>
          <w:i w:val="0"/>
          <w:color w:val="1D1C1C"/>
          <w:sz w:val="20"/>
        </w:rPr>
        <w:t>Throughout the engagement with PURE FINANCIAL ADVISORS LLC, the following key deliverables and artifacts will be provided to ensure a comprehensive and actionable outcome aligned with the project objectives:</w:t>
      </w:r>
    </w:p>
    <w:p>
      <w:pPr>
        <w:spacing w:after="80"/>
      </w:pPr>
    </w:p>
    <w:p>
      <w:pPr>
        <w:spacing w:after="160" w:line="276" w:lineRule="auto"/>
      </w:pPr>
      <w:r>
        <w:rPr>
          <w:rFonts w:ascii="Arial" w:hAnsi="Arial"/>
          <w:b w:val="0"/>
          <w:i w:val="0"/>
          <w:color w:val="1D1C1C"/>
          <w:sz w:val="20"/>
        </w:rPr>
        <w:t xml:space="preserve">1. </w:t>
      </w:r>
      <w:r>
        <w:rPr>
          <w:rFonts w:ascii="Arial" w:hAnsi="Arial"/>
          <w:b/>
          <w:i w:val="0"/>
          <w:color w:val="1D1C1C"/>
          <w:sz w:val="20"/>
        </w:rPr>
        <w:t>KPI Book</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Comprehensive documentation of Lead-to-AUM (L2A) and Customer Acquisition Cost (CAC) metrics.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Detailed definitions, calculation logic, and data sources for all key performance indicators.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Format: Structured PDF and editable Excel deliverable.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at the conclusion of the Discovery phase.</w:t>
      </w:r>
    </w:p>
    <w:p>
      <w:pPr>
        <w:spacing w:after="80"/>
      </w:pPr>
    </w:p>
    <w:p>
      <w:pPr>
        <w:spacing w:after="160" w:line="276" w:lineRule="auto"/>
      </w:pPr>
      <w:r>
        <w:rPr>
          <w:rFonts w:ascii="Arial" w:hAnsi="Arial"/>
          <w:b w:val="0"/>
          <w:i w:val="0"/>
          <w:color w:val="1D1C1C"/>
          <w:sz w:val="20"/>
        </w:rPr>
        <w:t xml:space="preserve">2. </w:t>
      </w:r>
      <w:r>
        <w:rPr>
          <w:rFonts w:ascii="Arial" w:hAnsi="Arial"/>
          <w:b/>
          <w:i w:val="0"/>
          <w:color w:val="1D1C1C"/>
          <w:sz w:val="20"/>
        </w:rPr>
        <w:t>Power BI Mock-ups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Eight (8) Power BI dashboard mock-ups highlighting L2A and CAC reporting views.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Annotated wireframes illustrating data fields, visualizations, and navigation elements.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Format: PDF and Power BI interactive files.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during the Discovery phase for stakeholder review.</w:t>
      </w:r>
    </w:p>
    <w:p>
      <w:pPr>
        <w:spacing w:after="80"/>
      </w:pPr>
    </w:p>
    <w:p>
      <w:pPr>
        <w:spacing w:after="160" w:line="276" w:lineRule="auto"/>
      </w:pPr>
      <w:r>
        <w:rPr>
          <w:rFonts w:ascii="Arial" w:hAnsi="Arial"/>
          <w:b w:val="0"/>
          <w:i w:val="0"/>
          <w:color w:val="1D1C1C"/>
          <w:sz w:val="20"/>
        </w:rPr>
        <w:t xml:space="preserve">3. </w:t>
      </w:r>
      <w:r>
        <w:rPr>
          <w:rFonts w:ascii="Arial" w:hAnsi="Arial"/>
          <w:b/>
          <w:i w:val="0"/>
          <w:color w:val="1D1C1C"/>
          <w:sz w:val="20"/>
        </w:rPr>
        <w:t>Data Model Design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Entity-relationship diagrams (ERD) and logical model documentation for enhanced L2A and CAC pipeline analytics.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Mapping of data sources including Salesforce, Tamarac, Azure Blob Storage, and QuickBooks integration.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Format: PDF diagrams and supporting documentation.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at the end of Discovery phase and finalized in Design phase.</w:t>
      </w:r>
    </w:p>
    <w:p>
      <w:pPr>
        <w:spacing w:after="80"/>
      </w:pPr>
    </w:p>
    <w:p>
      <w:pPr>
        <w:spacing w:after="160" w:line="276" w:lineRule="auto"/>
      </w:pPr>
      <w:r>
        <w:rPr>
          <w:rFonts w:ascii="Arial" w:hAnsi="Arial"/>
          <w:b w:val="0"/>
          <w:i w:val="0"/>
          <w:color w:val="1D1C1C"/>
          <w:sz w:val="20"/>
        </w:rPr>
        <w:t xml:space="preserve">4. </w:t>
      </w:r>
      <w:r>
        <w:rPr>
          <w:rFonts w:ascii="Arial" w:hAnsi="Arial"/>
          <w:b/>
          <w:i w:val="0"/>
          <w:color w:val="1D1C1C"/>
          <w:sz w:val="20"/>
        </w:rPr>
        <w:t>Data Gap Assessment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Analysis of current-state data quality and identification of missing or incomplete datasets required for L2A and CAC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Recommendations for resolving gaps and improving data accuracy.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Format: Written report (PDF) with summary tables.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midway through Discovery phase.</w:t>
      </w:r>
    </w:p>
    <w:p>
      <w:pPr>
        <w:spacing w:after="80"/>
      </w:pPr>
    </w:p>
    <w:p>
      <w:pPr>
        <w:spacing w:after="160" w:line="276" w:lineRule="auto"/>
      </w:pPr>
      <w:r>
        <w:rPr>
          <w:rFonts w:ascii="Arial" w:hAnsi="Arial"/>
          <w:b w:val="0"/>
          <w:i w:val="0"/>
          <w:color w:val="1D1C1C"/>
          <w:sz w:val="20"/>
        </w:rPr>
        <w:t xml:space="preserve">5. </w:t>
      </w:r>
      <w:r>
        <w:rPr>
          <w:rFonts w:ascii="Arial" w:hAnsi="Arial"/>
          <w:b/>
          <w:i w:val="0"/>
          <w:color w:val="1D1C1C"/>
          <w:sz w:val="20"/>
        </w:rPr>
        <w:t>Technical Approach</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Detailed documentation of system architecture and ETL (Extract, Transform, Load) pipeline requirements to automate data ingestion from QuickBooks and Salesforce.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Integration plan outlining necessary APIs and infrastructure within Microsoft Fabric and Azure Synapse.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Format: Technical whitepaper and architectural diagrams (PDF).</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at the end of Discovery phase.</w:t>
      </w:r>
    </w:p>
    <w:p>
      <w:pPr>
        <w:spacing w:after="80"/>
      </w:pPr>
    </w:p>
    <w:p>
      <w:pPr>
        <w:spacing w:after="160" w:line="276" w:lineRule="auto"/>
      </w:pPr>
      <w:r>
        <w:rPr>
          <w:rFonts w:ascii="Arial" w:hAnsi="Arial"/>
          <w:b w:val="0"/>
          <w:i w:val="0"/>
          <w:color w:val="1D1C1C"/>
          <w:sz w:val="20"/>
        </w:rPr>
        <w:t xml:space="preserve">6. </w:t>
      </w:r>
      <w:r>
        <w:rPr>
          <w:rFonts w:ascii="Arial" w:hAnsi="Arial"/>
          <w:b/>
          <w:i w:val="0"/>
          <w:color w:val="1D1C1C"/>
          <w:sz w:val="20"/>
        </w:rPr>
        <w:t>Phase 3B Implementation Plan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Roadmap for development, testing, and deployment activities covering the Design and Build phases.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Timeline, milestones, resource requirements, and dependencies for QuickBooks integration, automated reporting refreshes, and data quality improvements.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Format: Project management plan (Excel and PDF).</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at the conclusion of Discovery phase to guide subsequent execution.</w:t>
      </w:r>
    </w:p>
    <w:p>
      <w:pPr>
        <w:spacing w:after="80"/>
      </w:pPr>
    </w:p>
    <w:p>
      <w:pPr>
        <w:spacing w:after="160" w:line="276" w:lineRule="auto"/>
      </w:pPr>
      <w:r>
        <w:rPr>
          <w:rFonts w:ascii="Arial" w:hAnsi="Arial"/>
          <w:b w:val="0"/>
          <w:i w:val="0"/>
          <w:color w:val="1D1C1C"/>
          <w:sz w:val="20"/>
        </w:rPr>
        <w:t>Each deliverable will be iteratively reviewed with PURE FINANCIAL ADVISORS LLC's leadership and technical teams to ensure alignment with business goals and to incorporate feedback promptly. This structured approach guarantees transparency, accountability, and measurable value throughout the engagement lifecycle.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6</w:t>
        <w:tab/>
      </w:r>
      <w:r>
        <w:rPr>
          <w:rFonts w:ascii="Arial" w:hAnsi="Arial"/>
          <w:b/>
          <w:i w:val="0"/>
          <w:color w:val="19105B"/>
          <w:sz w:val="24"/>
        </w:rPr>
        <w:t>Approach</w:t>
      </w:r>
    </w:p>
    <w:p>
      <w:pPr>
        <w:spacing w:after="80"/>
      </w:pPr>
    </w:p>
    <w:p>
      <w:pPr>
        <w:spacing w:after="160" w:line="276" w:lineRule="auto"/>
      </w:pPr>
      <w:r>
        <w:rPr>
          <w:rFonts w:ascii="Arial" w:hAnsi="Arial"/>
          <w:b w:val="0"/>
          <w:i w:val="0"/>
          <w:color w:val="1D1C1C"/>
          <w:sz w:val="20"/>
        </w:rPr>
        <w:t>The engagement with PURE FINANCIAL ADVISORS LLC is designed to deliver a robust Lead-to-AUM (L2A) and Customer Acquisition Cost (CAC) reporting solution, leveraging advanced data integration and analytics capabilities. By implementing an automated and scalable data pipeline across Salesforce, Tamarac, Azure Blob Storage, and QuickBooks—culminating in enhanced Power BI dashboards—this solution will empower stakeholders with actionable insights into pipeline performance and the return on marketing investments. Our methodology centers on a collaborative, phased approach that emphasizes requirements gathering, technical design, and seamless implementation, ensuring all project objectives are met within the agreed timeline.</w:t>
      </w:r>
    </w:p>
    <w:p>
      <w:pPr>
        <w:spacing w:after="80"/>
      </w:pPr>
    </w:p>
    <w:p>
      <w:pPr>
        <w:spacing w:after="160" w:line="276" w:lineRule="auto"/>
      </w:pPr>
      <w:r>
        <w:rPr>
          <w:rFonts w:ascii="Arial" w:hAnsi="Arial"/>
          <w:b w:val="0"/>
          <w:i w:val="0"/>
          <w:color w:val="1D1C1C"/>
          <w:sz w:val="20"/>
        </w:rPr>
        <w:t>The engagement will proceed in two main phases, each with clearly defined deliverables and milestones. In Phase 3A (Design), our team will focus on understanding key business processes, documenting KPI logic, mapping data sources, and creating functional mock-ups and a technical approach. Phase 3B (Build &amp; Implementation) will operationalize the design through integration, automation, and deployment efforts, while addressing data quality and inter-system dependencies, particularly the QuickBooks integration. Activities and effort for each phase are detailed below.</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3A: Design &amp; Planning, Duration: 3 weeks, Timeline: Week 1 to Week 3</w:t>
      </w:r>
    </w:p>
    <w:p>
      <w:pPr>
        <w:spacing w:after="160" w:line="276" w:lineRule="auto"/>
      </w:pPr>
      <w:r>
        <w:rPr>
          <w:rFonts w:ascii="Arial" w:hAnsi="Arial"/>
          <w:b/>
          <w:i w:val="0"/>
          <w:color w:val="1D1C1C"/>
          <w:sz w:val="20"/>
        </w:rPr>
        <w:t>Summary:</w:t>
      </w:r>
      <w:r>
        <w:rPr>
          <w:rFonts w:ascii="Arial" w:hAnsi="Arial"/>
          <w:b w:val="0"/>
          <w:i w:val="0"/>
          <w:color w:val="1D1C1C"/>
          <w:sz w:val="20"/>
        </w:rPr>
        <w:t xml:space="preserve"> Conduct discovery sessions, define metrics and data models, assess gaps, produce mock-ups, and prepare for implementation.</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Facilitate discovery workshops with business and technical stakeholders to document L2A and CAC requirements and workflows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a comprehensive KPI Book detailing metric definitions, calculation logic, and sourcing requirements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Analyze and map data from Salesforce, Tamarac, Azure Blob Storage, and QuickBooks to the enhanced reporting requirements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Create Power BI mock-ups (limited to 8 views) reflecting required dashboards and visualizations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a data gap assessment and document the technical approach for batch processing pipelines and QuickBooks integration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the Phase 3B Implementation Plan, including dependencies, resource needs, and detailed timelines</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3B: Build &amp; Implementation, Duration: 8–12 weeks, Timeline: Week 4 to Week 15</w:t>
      </w:r>
    </w:p>
    <w:p>
      <w:pPr>
        <w:spacing w:after="160" w:line="276" w:lineRule="auto"/>
      </w:pPr>
      <w:r>
        <w:rPr>
          <w:rFonts w:ascii="Arial" w:hAnsi="Arial"/>
          <w:b/>
          <w:i w:val="0"/>
          <w:color w:val="1D1C1C"/>
          <w:sz w:val="20"/>
        </w:rPr>
        <w:t>Summary:</w:t>
      </w:r>
      <w:r>
        <w:rPr>
          <w:rFonts w:ascii="Arial" w:hAnsi="Arial"/>
          <w:b w:val="0"/>
          <w:i w:val="0"/>
          <w:color w:val="1D1C1C"/>
          <w:sz w:val="20"/>
        </w:rPr>
        <w:t xml:space="preserve"> Integrate new data sources, automate ingestion and transformation, implement the L2A and CAC reporting suite, and ensure data quality.</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Design and implement the L2A and CAC data model using Microsoft Fabric and Azure Synapse, integrating with Salesforce, QuickBooks, Tamarac, and Azure Blob Storage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and automate batch data ingestion and transformation pipelines, focusing on scalable, maintainable architecture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Execute data quality assessments and resolve identified data issues critical for CAC and pipeline reporting accuracy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Configure and enhance the Power BI reporting suite to deliver the required insights, dashboards, and KPI logic</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Ensure user acceptance testing (UAT) with key stakeholders and iterate based on feedback</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Complete project documentation and transition knowledge to Pure’s internal teams for sustainable operations and future scalability</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val="0"/>
          <w:i w:val="0"/>
          <w:color w:val="1D1C1C"/>
          <w:sz w:val="20"/>
        </w:rPr>
        <w:t>This phased approach ensures that PURE FINANCIAL ADVISORS LLC receives clear, actionable, and high-quality deliverables aligned with business objectives at each stage. By prioritizing data model design, stakeholder validation, and automated integration, we will provide the foundation for scalable and transparent reporting that drives strategic decision-making and maximizes marketing ROI.</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7</w:t>
        <w:tab/>
      </w:r>
      <w:r>
        <w:rPr>
          <w:rFonts w:ascii="Arial" w:hAnsi="Arial"/>
          <w:b/>
          <w:i w:val="0"/>
          <w:color w:val="19105B"/>
          <w:sz w:val="24"/>
        </w:rPr>
        <w:t>Outcomes</w:t>
      </w:r>
    </w:p>
    <w:p>
      <w:pPr>
        <w:spacing w:after="80"/>
      </w:pPr>
    </w:p>
    <w:p>
      <w:pPr>
        <w:spacing w:after="160" w:line="276" w:lineRule="auto"/>
      </w:pPr>
      <w:r>
        <w:rPr>
          <w:rFonts w:ascii="Arial" w:hAnsi="Arial"/>
          <w:b w:val="0"/>
          <w:i w:val="0"/>
          <w:color w:val="1D1C1C"/>
          <w:sz w:val="20"/>
        </w:rPr>
        <w:t>The proposed engagement will significantly enhance PURE FINANCIAL ADVISORS LLC’s ability to measure, understand, and improve its lead-to-asset (L2A) conversion pipeline and customer acquisition cost (CAC) metrics. By automating data integration and enabling robust, actionable reporting, Pure will gain deeper visibility into marketing ROI and pipeline effectiveness, empowering leadership to make informed, data-driven decisions that support growth and operational maturity.</w:t>
      </w:r>
    </w:p>
    <w:p>
      <w:pPr>
        <w:spacing w:after="80"/>
      </w:pPr>
    </w:p>
    <w:p>
      <w:pPr>
        <w:spacing w:before="200" w:after="80"/>
      </w:pPr>
      <w:r>
        <w:rPr>
          <w:rFonts w:ascii="Arial" w:hAnsi="Arial"/>
          <w:b/>
          <w:i w:val="0"/>
          <w:color w:val="FF6196"/>
          <w:sz w:val="22"/>
        </w:rPr>
        <w:t>Expected Business Outcomes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Granular Pipeline Insights:</w:t>
      </w:r>
      <w:r>
        <w:rPr>
          <w:rFonts w:ascii="Arial" w:hAnsi="Arial"/>
          <w:b w:val="0"/>
          <w:i w:val="0"/>
          <w:color w:val="1D1C1C"/>
          <w:sz w:val="20"/>
        </w:rPr>
        <w:t xml:space="preserve"> Achieve detailed visibility into each stage of the lead-to-AUM journey, allowing teams to identify bottlenecks and optimize engagement strategies based on precise conversion data.</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Improved Marketing ROI Measurement:</w:t>
      </w:r>
      <w:r>
        <w:rPr>
          <w:rFonts w:ascii="Arial" w:hAnsi="Arial"/>
          <w:b w:val="0"/>
          <w:i w:val="0"/>
          <w:color w:val="1D1C1C"/>
          <w:sz w:val="20"/>
        </w:rPr>
        <w:t xml:space="preserve"> Enable clear, accurate reporting on marketing spend effectiveness by directly tying investments to both lead generation and ultimate asset acquisition through integrated CAC analysis.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Automated, Reliable Reporting:</w:t>
      </w:r>
      <w:r>
        <w:rPr>
          <w:rFonts w:ascii="Arial" w:hAnsi="Arial"/>
          <w:b w:val="0"/>
          <w:i w:val="0"/>
          <w:color w:val="1D1C1C"/>
          <w:sz w:val="20"/>
        </w:rPr>
        <w:t xml:space="preserve"> Reduce manual efforts and potential errors by automating data ingestion, transformation, and Power BI reporting refreshes, ensuring stakeholders have timely access to accurate KPIs.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Actionable Leadership Insights:</w:t>
      </w:r>
      <w:r>
        <w:rPr>
          <w:rFonts w:ascii="Arial" w:hAnsi="Arial"/>
          <w:b w:val="0"/>
          <w:i w:val="0"/>
          <w:color w:val="1D1C1C"/>
          <w:sz w:val="20"/>
        </w:rPr>
        <w:t xml:space="preserve"> Empower senior leadership and marketing stakeholders with visualizations and dashboards that clarify key performance indicators—facilitating rapid, confident business decisions.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Scalable Analytical Foundation:</w:t>
      </w:r>
      <w:r>
        <w:rPr>
          <w:rFonts w:ascii="Arial" w:hAnsi="Arial"/>
          <w:b w:val="0"/>
          <w:i w:val="0"/>
          <w:color w:val="1D1C1C"/>
          <w:sz w:val="20"/>
        </w:rPr>
        <w:t xml:space="preserve"> Establish a future-ready data model and reporting framework capable of adapting to new data sources and evolving business needs, supporting long-term growth and increased data maturity.</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Risk Mitigation Through Enhanced Visibility:</w:t>
      </w:r>
      <w:r>
        <w:rPr>
          <w:rFonts w:ascii="Arial" w:hAnsi="Arial"/>
          <w:b w:val="0"/>
          <w:i w:val="0"/>
          <w:color w:val="1D1C1C"/>
          <w:sz w:val="20"/>
        </w:rPr>
        <w:t xml:space="preserve"> Minimize the risks associated with limited pipeline and marketing transparency by delivering integrated insights that highlight gaps, trends, and opportunities across the business.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8</w:t>
        <w:tab/>
      </w:r>
      <w:r>
        <w:rPr>
          <w:rFonts w:ascii="Arial" w:hAnsi="Arial"/>
          <w:b/>
          <w:i w:val="0"/>
          <w:color w:val="19105B"/>
          <w:sz w:val="24"/>
        </w:rPr>
        <w:t>Business Impact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Enhanced Revenue Measurement:</w:t>
      </w:r>
      <w:r>
        <w:rPr>
          <w:rFonts w:ascii="Arial" w:hAnsi="Arial"/>
          <w:b w:val="0"/>
          <w:i w:val="0"/>
          <w:color w:val="1D1C1C"/>
          <w:sz w:val="20"/>
        </w:rPr>
        <w:t xml:space="preserve"> Implementing granular Lead-to-AUM (L2A) pipeline reporting will enable PURE FINANCIAL ADVISORS LLC to accurately track conversion rates across all stages of the client acquisition journey. This visibility helps identify high-performing channels and optimize asset management strategies, leading to improved customer acquisition outcomes and potential increases in assets under management (AUM).</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Optimized Marketing Spend and CAC:</w:t>
      </w:r>
      <w:r>
        <w:rPr>
          <w:rFonts w:ascii="Arial" w:hAnsi="Arial"/>
          <w:b w:val="0"/>
          <w:i w:val="0"/>
          <w:color w:val="1D1C1C"/>
          <w:sz w:val="20"/>
        </w:rPr>
        <w:t xml:space="preserve"> By integrating QuickBooks and automating the calculation of Customer Acquisition Cost (CAC), the firm can precisely measure and attribute marketing ROI. With clear CAC insights, marketing teams can reallocate budgets to higher-yield channels, reducing wasted spend and potentially lowering acquisition costs by up to 20%, based on industry best practices.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Operational Efficiency through Automation:</w:t>
      </w:r>
      <w:r>
        <w:rPr>
          <w:rFonts w:ascii="Arial" w:hAnsi="Arial"/>
          <w:b w:val="0"/>
          <w:i w:val="0"/>
          <w:color w:val="1D1C1C"/>
          <w:sz w:val="20"/>
        </w:rPr>
        <w:t xml:space="preserve"> Automating data ingestion, transformation, and reporting refresh processes eliminates manual reconciliations and streamlines routine workflows for the data, technology, and marketing teams. This shift can reduce reporting cycle time by over 60%, freeing staff to focus on value-added analysis and decision making.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Data-Driven Strategic Decision Making:</w:t>
      </w:r>
      <w:r>
        <w:rPr>
          <w:rFonts w:ascii="Arial" w:hAnsi="Arial"/>
          <w:b w:val="0"/>
          <w:i w:val="0"/>
          <w:color w:val="1D1C1C"/>
          <w:sz w:val="20"/>
        </w:rPr>
        <w:t xml:space="preserve"> Improved Power BI dashboards and a robust KPI suite allow senior leadership to gain actionable insights. With a full view of L2A conversion and CAC metrics, Pure’s decision makers can proactively adjust strategy, anticipate market shifts, and target investment toward scalable growth opportunities, strengthening Pure’s ability to meet long-term business goals.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Future-Proof, Scalable Reporting Platform:</w:t>
      </w:r>
      <w:r>
        <w:rPr>
          <w:rFonts w:ascii="Arial" w:hAnsi="Arial"/>
          <w:b w:val="0"/>
          <w:i w:val="0"/>
          <w:color w:val="1D1C1C"/>
          <w:sz w:val="20"/>
        </w:rPr>
        <w:t xml:space="preserve"> The new data model and reporting suite are designed to scale with Pure’s growing data ecosystem, accommodating new data sources and expanded reporting demands. This infrastructure positions the firm to support evolving business requirements, maintain data maturity, and rapidly adapt as new opportunities or challenges arise.</w:t>
      </w:r>
    </w:p>
    <w:p>
      <w:pPr>
        <w:spacing w:after="80"/>
      </w:pPr>
    </w:p>
    <w:p>
      <w:pPr>
        <w:spacing w:after="160" w:line="276" w:lineRule="auto"/>
      </w:pPr>
      <w:r>
        <w:rPr>
          <w:rFonts w:ascii="Arial" w:hAnsi="Arial"/>
          <w:b w:val="0"/>
          <w:i w:val="0"/>
          <w:color w:val="1D1C1C"/>
          <w:sz w:val="20"/>
        </w:rPr>
        <w:t>The proposed solution delivers foundational improvements to Pure’s reporting and analytics capabilities, resulting in financial optimization, operational efficiency, and strategic flexibility. By enabling automated, granular measurement of pipeline performance and marketing ROI, Pure Financial Advisors LLC will be empowered to make informed, data-backed decisions that drive sustainable growth and competitive advantage in the United States financial advisory market.</w:t>
      </w:r>
    </w:p>
    <w:p>
      <w:pPr>
        <w:pBdr>
          <w:bottom w:val="single" w:sz="8" w:space="1" w:color="FF6196"/>
        </w:pBdr>
        <w:spacing w:before="40" w:after="200"/>
      </w:pPr>
    </w:p>
    <w:sectPr w:rsidR="00FC693F" w:rsidRPr="0006063C" w:rsidSect="00034616">
      <w:headerReference w:type="default" r:id="rId11"/>
      <w:footerReference w:type="default" r:id="rId12"/>
      <w:pgSz w:w="11906" w:h="16838"/>
      <w:pgMar w:top="1020" w:right="992" w:bottom="510" w:left="992"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0" w:val="left"/>
        <w:tab w:pos="4819" w:val="center"/>
        <w:tab w:pos="9921" w:val="right"/>
      </w:tabs>
      <w:spacing w:before="80" w:after="0"/>
      <w:pBdr>
        <w:top w:val="single" w:sz="8" w:space="4" w:color="173845"/>
      </w:pBdr>
    </w:pPr>
    <w:r>
      <w:rPr>
        <w:rFonts w:ascii="Arial" w:hAnsi="Arial"/>
        <w:b w:val="0"/>
        <w:i w:val="0"/>
        <w:color w:val="808080"/>
        <w:sz w:val="16"/>
      </w:rPr>
      <w:t>Circulation Limited: Client</w:t>
    </w:r>
    <w:r>
      <w:rPr>
        <w:rFonts w:ascii="Arial" w:hAnsi="Arial"/>
        <w:b w:val="0"/>
        <w:i w:val="0"/>
        <w:sz w:val="16"/>
      </w:rPr>
      <w:tab/>
    </w:r>
    <w:r>
      <w:rPr>
        <w:rFonts w:ascii="Arial" w:hAnsi="Arial"/>
        <w:b w:val="0"/>
        <w:i w:val="0"/>
        <w:color w:val="808080"/>
        <w:sz w:val="16"/>
      </w:rPr>
      <w:t>Version v1.0</w:t>
    </w:r>
    <w:r>
      <w:rPr>
        <w:rFonts w:ascii="Arial" w:hAnsi="Arial"/>
        <w:b w:val="0"/>
        <w:i w:val="0"/>
        <w:sz w:val="16"/>
      </w:rPr>
      <w:tab/>
    </w:r>
    <w:r>
      <w:rPr>
        <w:rFonts w:ascii="Arial" w:hAnsi="Arial"/>
        <w:b w:val="0"/>
        <w:i/>
        <w:color w:val="808080"/>
        <w:sz w:val="16"/>
      </w:rPr>
      <w:t>June 2026</w:t>
    </w:r>
    <w:r>
      <w:rPr>
        <w:rFonts w:ascii="Arial" w:hAnsi="Arial"/>
        <w:b w:val="0"/>
        <w:i w:val="0"/>
        <w:sz w:val="16"/>
      </w:rPr>
      <w:t xml:space="preserve"> </w:t>
    </w:r>
    <w:r>
      <w:rPr>
        <w:color w:val="808080"/>
        <w:sz w:val="16"/>
      </w:rPr>
      <w:fld>
        <w:instrText>PAGE</w:instrText>
      </w:fld>
    </w:r>
    <w:r>
      <w:rPr>
        <w:rFonts w:ascii="Arial" w:hAnsi="Arial"/>
        <w:b w:val="0"/>
        <w:i w:val="0"/>
        <w:sz w:val="16"/>
      </w:rPr>
      <w:t xml:space="preserve"> </w:t>
    </w:r>
    <w:r>
      <w:drawing>
        <wp:inline xmlns:a="http://schemas.openxmlformats.org/drawingml/2006/main" xmlns:pic="http://schemas.openxmlformats.org/drawingml/2006/picture">
          <wp:extent cx="1104417" cy="162000"/>
          <wp:docPr id="1" name="Picture 1"/>
          <wp:cNvGraphicFramePr>
            <a:graphicFrameLocks noChangeAspect="1"/>
          </wp:cNvGraphicFramePr>
          <a:graphic>
            <a:graphicData uri="http://schemas.openxmlformats.org/drawingml/2006/picture">
              <pic:pic>
                <pic:nvPicPr>
                  <pic:cNvPr id="0" name="jman_corner_mark.png"/>
                  <pic:cNvPicPr/>
                </pic:nvPicPr>
                <pic:blipFill>
                  <a:blip r:embed="rId1"/>
                  <a:stretch>
                    <a:fillRect/>
                  </a:stretch>
                </pic:blipFill>
                <pic:spPr>
                  <a:xfrm>
                    <a:off x="0" y="0"/>
                    <a:ext cx="1104417" cy="162000"/>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1152000" cy="1078857"/>
          <wp:docPr id="1" name="Picture 1"/>
          <wp:cNvGraphicFramePr>
            <a:graphicFrameLocks noChangeAspect="1"/>
          </wp:cNvGraphicFramePr>
          <a:graphic>
            <a:graphicData uri="http://schemas.openxmlformats.org/drawingml/2006/picture">
              <pic:pic>
                <pic:nvPicPr>
                  <pic:cNvPr id="0" name="jman_logo_navy.png"/>
                  <pic:cNvPicPr/>
                </pic:nvPicPr>
                <pic:blipFill>
                  <a:blip r:embed="rId1"/>
                  <a:stretch>
                    <a:fillRect/>
                  </a:stretch>
                </pic:blipFill>
                <pic:spPr>
                  <a:xfrm>
                    <a:off x="0" y="0"/>
                    <a:ext cx="1152000" cy="107885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