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as a mid-market recruitment software-as-a-service (SaaS) provider, delivering B2B solutions that enable organizations to streamline and optimize their recruitment processes. The company’s core offering is a comprehensive recruitment platform, with key business stakeholders including VONQ's Client Engagement Manager (to be confirmed), Paul Goodstadt (Service Provider Engagement Manager), and Barclays as the client’s advisors. VONQ serves multiple internal teams—finance, commercial/CRM, data/analytics, and senior leadership—who are now focused on preparing for a near-term exit or sale process.</w:t>
      </w:r>
    </w:p>
    <w:p>
      <w:pPr>
        <w:spacing w:after="80"/>
      </w:pPr>
    </w:p>
    <w:p>
      <w:pPr>
        <w:spacing w:after="160" w:line="276" w:lineRule="auto"/>
      </w:pPr>
      <w:r>
        <w:rPr>
          <w:rFonts w:ascii="Arial" w:hAnsi="Arial"/>
          <w:b w:val="0"/>
          <w:i w:val="0"/>
          <w:color w:val="1D1C1C"/>
          <w:sz w:val="20"/>
        </w:rPr>
        <w:t>The immediate business challenge is VONQ’s need for a robust, investor-ready exit reporting suite that supports both the transaction itself and related stakeholder communications. Key pain points include a lack of investor-grade reporting, potential data inconsistencies across source systems, and limitations within the existing Qlik Warehouse, which may not fully address the required KPIs for equity narrative development. Integration challenges are present, as some source systems feeding into Qlik Warehouse require manual and recurring ingestion processes; these must be automated to ensure timely and reliable updates throughout the transaction period.</w:t>
      </w:r>
    </w:p>
    <w:p>
      <w:pPr>
        <w:spacing w:after="80"/>
      </w:pPr>
    </w:p>
    <w:p>
      <w:pPr>
        <w:spacing w:after="160" w:line="276" w:lineRule="auto"/>
      </w:pPr>
      <w:r>
        <w:rPr>
          <w:rFonts w:ascii="Arial" w:hAnsi="Arial"/>
          <w:b w:val="0"/>
          <w:i w:val="0"/>
          <w:color w:val="1D1C1C"/>
          <w:sz w:val="20"/>
        </w:rPr>
        <w:t>This initiative is strategically critical for VONQ as it directly underpins the success of their M&amp;A exit. Delivering a scalable reporting suite—comprised of a refreshable data cube, dashboards, a well-defined KPI framework, and supporting documentation—will ensure the company can present credible, data-backed equity narratives to acquirers and advisors. Timely completion of Phase 1 discovery and design outputs is essential to keep the exit timeline on track, mitigate reputational risk, and position VONQ as a well-governed, data-driven business asset to prospective buyers.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operational landscape involves the Finance, commercial/CRM, data/analytics, and senior leadership teams, all of which are actively engaged in exit preparation and investor reporting activities. These teams leverage a range of integrated systems, including the Finance System, CRM, ERP, and Qlik Warehouse, which serves as the primary data and reporting platform.</w:t>
      </w:r>
    </w:p>
    <w:p>
      <w:pPr>
        <w:spacing w:after="80"/>
      </w:pPr>
    </w:p>
    <w:p>
      <w:pPr>
        <w:spacing w:after="160" w:line="276" w:lineRule="auto"/>
      </w:pPr>
      <w:r>
        <w:rPr>
          <w:rFonts w:ascii="Arial" w:hAnsi="Arial"/>
          <w:b w:val="0"/>
          <w:i w:val="0"/>
          <w:color w:val="1D1C1C"/>
          <w:sz w:val="20"/>
        </w:rPr>
        <w:t>Existing reporting is primarily delivered through Qlik-based dashboards, supported by datasets drawn from the Finance System, CRM, ERP, and additional Excel-based files. Legacy data sources are also engaged, as required, to provide a minimum of three years of trended business data. The Qlik Warehouse, deployed as the principal cloud platform, underpins both current and historic data reporting, though direct and automated integrations from all source systems are not yet fully established.</w:t>
      </w:r>
    </w:p>
    <w:p>
      <w:pPr>
        <w:spacing w:after="80"/>
      </w:pPr>
    </w:p>
    <w:p>
      <w:pPr>
        <w:spacing w:after="160" w:line="276" w:lineRule="auto"/>
      </w:pPr>
      <w:r>
        <w:rPr>
          <w:rFonts w:ascii="Arial" w:hAnsi="Arial"/>
          <w:b w:val="0"/>
          <w:i w:val="0"/>
          <w:color w:val="1D1C1C"/>
          <w:sz w:val="20"/>
        </w:rPr>
        <w:t>Integration across these platforms is partly manual; select systems lack automated connections into the Qlik Warehouse and therefore require manual, one-off data ingestion. In cases where recurring data updates are necessary during the transaction period, a defined refresh process is implemented.</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requires a scalable exit reporting suite to support its M&amp;A sale process and facilitate clear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Qlik Warehouse reporting does not fully cover all required KPIs needed for equity narrative and investor-grade visibility.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potential data gaps across source systems, which directly impacts the completeness and credibility of exit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source systems lack automated integration with the Qlik Warehouse, necessitating manual one-off data ingestion and recurring refresh pipelines during the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are required between Finance System, CRM, ERP, and Qlik Warehouse, including legacy sources for three years of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solution must enable equity narrative definition, prioritised KPI framework, dashboard mock-ups, data feasibility assessment, conceptual data model design, tooling recommendations, and a phased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refresh workflows are needed to ensure timely updates of key business metrics throughout the transaction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Target user roles include senior leadership, exit advisors (Barclays), and potential acquirers/investors, all requiring investor-grade reporting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Constraints include exit timeline, stakeholder availability, quality and readiness of Qlik Warehouse data, and timely provisioning of data access prior to project kick-off.</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fully designed exit reporting suite that provides clear equity narratives, prioritized KPI frameworks, dashboard mock-ups, a scalable conceptual data model, and actionable tooling recommendations to support investor communications and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refreshable data ingestion pipelines from Finance, CRM, and ERP systems into the Qlik Warehouse, enabling recurring data refreshes for transaction reporting and reducing manual effort.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investor-grade visibility for senior leadership and stakeholders into key business metrics essential to the equity narrative and M&amp;A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through intuitive dashboards aligned with equity narratives, featuring clear KPI definitions, calculation logic, and a standardized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exit reporting, KPI definitions, and data infrastructure readiness to meet investor scrutiny and ensure consistent, credible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solution that becomes a lasting business asset, fully automatable and scalable post-transaction, with future-proof technology choices enabling ongoing extensibility.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future reporting suite is extensible to additional data sources and capable of refreshable updates beyond the exit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future platform with Finance System, CRM, ERP, and Qlik Warehouse, with additional data sources considered subject to feasibility and strategic alignment.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articulation of investor-facing equity narratives relevant to the exit 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narrative themes with VONQ’s business strengths, growth story, and investment highlights.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document in PowerPoint or Word format delivered in Week 1 for stakeholder review and validation.</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Prioritised list of commercial, financial, and operational KPIs, including working definitions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 mapping to underlying data sources and business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Framework delivered as a structured Excel or Word matrix with supporting explanatory notes, completed by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wireframes illustrating the proposed dashboard design, layout,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trended reporting views, and visual alignment to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provided in PDF or PowerPoint format for interactive workshop review, delivered in Week 2.</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and documentation of current-state data availability, quality, and integration gaps across Finance, CRM, ERP, and legacy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critical data gaps impacting reporting readiness and proposed remediation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Findings delivered as a written assessment report, with playback session held in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conceptual data model capturing entities, relationships, and key data flows necessary for the exit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lineage from source to dashboard to ensure transparency and auditability.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Model shared as a diagram (e.g., Visio or Lucidchart) with accompanying documentation, presented in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on architectural approaches, data integration solutions, and supporting tooling fit for VONQ’s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Options analysis covering pros and cons, scalability, and alignment with the Qlik Warehouse and target operating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summarized in a comparative options paper, delivered in Week 3.</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Clearly sequenced plan outlining Phase 2 build activities, dependencies, milestones, and risk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Assignment of priority use cases, required resources, and critical path items for seamless project handover.</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delivered as a Gantt chart or structured project plan (PDF/Excel/PowerPoint), issued in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will support VONQ’s exit preparation through the accelerated design and specification of an investor-grade reporting suite. Our methodology adopts a structured, collaborative approach—combining stakeholder workshops, business analysis, and data feasibility assessment to deliver actionable, transaction-ready design artefacts. The process is designed to align tightly with the client’s timeline, ensure buy-in from key stakeholders, and position the solution for scalable execution in Phase 2.</w:t>
      </w:r>
    </w:p>
    <w:p>
      <w:pPr>
        <w:spacing w:after="80"/>
      </w:pPr>
    </w:p>
    <w:p>
      <w:pPr>
        <w:spacing w:after="160" w:line="276" w:lineRule="auto"/>
      </w:pPr>
      <w:r>
        <w:rPr>
          <w:rFonts w:ascii="Arial" w:hAnsi="Arial"/>
          <w:b w:val="0"/>
          <w:i w:val="0"/>
          <w:color w:val="1D1C1C"/>
          <w:sz w:val="20"/>
        </w:rPr>
        <w:t>Phase 1 focuses exclusively on discovery and design, leveraging VONQ’s established Qlik Warehouse as the primary platform and integrating data from Finance, CRM, and ERP systems. Workshops will clarify the equity narrative, define prioritized KPIs, assess current data assets, and deliver dashboard mock-ups, a conceptual data model, tooling recommendations, and a roadmap for technical implementation. Technical development and system build-out are specifically out of scope; Phase 1 outputs serve as foundational artefacts for Phase 2 execution.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establishes the design foundations for VONQ’s exit reporting suite, including equity narratives, KPIs, dashboard mock-ups, conceptual data model, tooling recommendations, and an actionable implementation roadmap.</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and stakeholder workshops to define equity narratives and reporting imperatives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feasibility assessment covering Finance, CRM, ERP, Qlik Warehouse, and legacy sources (for three-year trended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 Metrics that Matter KPI framework and specify calculation logic for key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static dashboard mock-ups illustrating proposed views, layout, and navigation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Draft conceptual data model, mapping required integrations and data flows into the Qlik Warehouse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Evaluate tooling options; produce recommendations (including trade-off analysis) for reporting suite extensibility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implementation roadmap detailing Phase 2 priorities, milestones, dependencies, and risks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Concluding this phase, VONQ will be equipped with validated exit reporting suite design artefacts—all aligned to investor requirements and ready for technical build-out in Phase 2. This structured approach ensures clarity around objectives, secures stakeholder buy-in, and mitigates risk during the critical transaction timeline, while delivering lasting business assets that underpin both the exit process and future reporting scalability.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will enable VONQ to accelerate its exit readiness by delivering investor-grade reporting capabilities, supporting informed communications with potential acquirers and advisors. By establishing a validated KPI framework, intuitive dashboards, and a scalable data foundation, the solution will reduce reporting risks, clarify the equity narrative, and position VONQ for a successful transaction within the targeted timeline.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Reporting Design:</w:t>
      </w:r>
      <w:r>
        <w:rPr>
          <w:rFonts w:ascii="Arial" w:hAnsi="Arial"/>
          <w:b w:val="0"/>
          <w:i w:val="0"/>
          <w:color w:val="1D1C1C"/>
          <w:sz w:val="20"/>
        </w:rPr>
        <w:t xml:space="preserve"> VONQ will have a thoroughly validated exit reporting suite—including dashboard mock-ups and KPI frameworks—tailored to the requirements of investors and advisors, directly underpinning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Clear Equity Narrative &amp; KPI Alignment:</w:t>
      </w:r>
      <w:r>
        <w:rPr>
          <w:rFonts w:ascii="Arial" w:hAnsi="Arial"/>
          <w:b w:val="0"/>
          <w:i w:val="0"/>
          <w:color w:val="1D1C1C"/>
          <w:sz w:val="20"/>
        </w:rPr>
        <w:t xml:space="preserve"> Creation of equity narrative-aligned KPIs spanning commercial, financial, and operational metrics will provide stakeholders with a credible, data-backed story to support valuation and negotiation.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Identified Data Gaps &amp; Remediation Roadmap:</w:t>
      </w:r>
      <w:r>
        <w:rPr>
          <w:rFonts w:ascii="Arial" w:hAnsi="Arial"/>
          <w:b w:val="0"/>
          <w:i w:val="0"/>
          <w:color w:val="1D1C1C"/>
          <w:sz w:val="20"/>
        </w:rPr>
        <w:t xml:space="preserve"> Systematic assessment of data sources will surface key data gaps and remediation priorities, ensuring reporting integrity and minimizing risk of delays during the transaction.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Automatable and Scalable Data Infrastructure:</w:t>
      </w:r>
      <w:r>
        <w:rPr>
          <w:rFonts w:ascii="Arial" w:hAnsi="Arial"/>
          <w:b w:val="0"/>
          <w:i w:val="0"/>
          <w:color w:val="1D1C1C"/>
          <w:sz w:val="20"/>
        </w:rPr>
        <w:t xml:space="preserve"> The conceptual data model and roadmap will lay the foundation for ongoing automation and scalability, enabling future integration of additional sources and recurring data refresh beyond the transaction.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Transaction Risk:</w:t>
      </w:r>
      <w:r>
        <w:rPr>
          <w:rFonts w:ascii="Arial" w:hAnsi="Arial"/>
          <w:b w:val="0"/>
          <w:i w:val="0"/>
          <w:color w:val="1D1C1C"/>
          <w:sz w:val="20"/>
        </w:rPr>
        <w:t xml:space="preserve"> Completing and signing off on the Phase 1 design artefacts will reduce the risk of reputational issues, reporting gaps, and timeline delays, ensuring VONQ is prepared for rigorous investor scrutiny.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Roadmap for Implementation:</w:t>
      </w:r>
      <w:r>
        <w:rPr>
          <w:rFonts w:ascii="Arial" w:hAnsi="Arial"/>
          <w:b w:val="0"/>
          <w:i w:val="0"/>
          <w:color w:val="1D1C1C"/>
          <w:sz w:val="20"/>
        </w:rPr>
        <w:t xml:space="preserve"> The detailed implementation roadmap will provide clear next steps, dependencies, and milestones, ensuring a smooth transition into Phase 2 and alignment with the overall exit timeline.</w:t>
      </w:r>
    </w:p>
    <w:p>
      <w:pPr>
        <w:spacing w:after="80"/>
      </w:pPr>
    </w:p>
    <w:p>
      <w:pPr>
        <w:spacing w:after="160" w:line="276" w:lineRule="auto"/>
      </w:pPr>
      <w:r>
        <w:rPr>
          <w:rFonts w:ascii="Arial" w:hAnsi="Arial"/>
          <w:b w:val="0"/>
          <w:i w:val="0"/>
          <w:color w:val="1D1C1C"/>
          <w:sz w:val="20"/>
        </w:rPr>
        <w:t>KPIs and success metrics will be defined in early project workshops to ensure alignment with VONQ’s equity narrative and transaction objectives, and will cover visibility into growth, retention, sales performance, and operational efficiency as required by investors.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By delivering a fully designed exit reporting suite and investor-ready KPI framework within a 4-week timeframe, VONQ can expedite the M&amp;A process, minimizing delays and maximizing transaction value during a strategic sale window.</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Robust Financial Transparency:</w:t>
      </w:r>
      <w:r>
        <w:rPr>
          <w:rFonts w:ascii="Arial" w:hAnsi="Arial"/>
          <w:b w:val="0"/>
          <w:i w:val="0"/>
          <w:color w:val="1D1C1C"/>
          <w:sz w:val="20"/>
        </w:rPr>
        <w:t xml:space="preserve"> The solution empowers finance, commercial, and leadership teams with dashboards aligned to equity narratives, ensuring comprehensive, data-backed visibility into commercial, operational, and financial performance. This level of transparency mitigates risks of data inconsistencies and supports credible engagement with potential acquirers and advisors.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&amp; Automation:</w:t>
      </w:r>
      <w:r>
        <w:rPr>
          <w:rFonts w:ascii="Arial" w:hAnsi="Arial"/>
          <w:b w:val="0"/>
          <w:i w:val="0"/>
          <w:color w:val="1D1C1C"/>
          <w:sz w:val="20"/>
        </w:rPr>
        <w:t xml:space="preserve"> Automating data ingestion and refresh pipelines from source systems into the Qlik Warehouse reduces manual data handling for recurring transaction reporting—potentially saving up to 50% of the time currently spent on manual aggregation and validation, based on industry averages for similar SaaS reporting transformations [Maximize Your SaaS Value with Automated Reporting](https://www.gartner.com/en/documents/3993674).</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w:t>
      </w:r>
      <w:r>
        <w:rPr>
          <w:rFonts w:ascii="Arial" w:hAnsi="Arial"/>
          <w:b w:val="0"/>
          <w:i w:val="0"/>
          <w:color w:val="1D1C1C"/>
          <w:sz w:val="20"/>
        </w:rPr>
        <w:t xml:space="preserve"> The prioritised KPI framework and conceptual data model deliver investor-grade insights, enabling leadership to articulate a clear, data-driven equity narrative. This increases confidence among acquirers and enhances VONQ's ability to command a premium valuation.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Future-Proof, Scalable Architecture:</w:t>
      </w:r>
      <w:r>
        <w:rPr>
          <w:rFonts w:ascii="Arial" w:hAnsi="Arial"/>
          <w:b w:val="0"/>
          <w:i w:val="0"/>
          <w:color w:val="1D1C1C"/>
          <w:sz w:val="20"/>
        </w:rPr>
        <w:t xml:space="preserve"> Establishing a phased roadmap, extensible data model, and tooling recommendations ensures that the reporting suite and infrastructure can scale post-transaction, supporting additional data sources and business growth without expensive rework.</w:t>
      </w:r>
    </w:p>
    <w:p>
      <w:pPr>
        <w:spacing w:after="80"/>
      </w:pPr>
    </w:p>
    <w:p>
      <w:pPr>
        <w:spacing w:after="160" w:line="276" w:lineRule="auto"/>
      </w:pPr>
      <w:r>
        <w:rPr>
          <w:rFonts w:ascii="Arial" w:hAnsi="Arial"/>
          <w:b w:val="0"/>
          <w:i w:val="0"/>
          <w:color w:val="1D1C1C"/>
          <w:sz w:val="20"/>
        </w:rPr>
        <w:t>VONQ’s engagement in this initiative will strengthen its position in the market by enabling rapid, credible, and insightful reporting that meets or exceeds investor expectations. The phase 1 deliverables lay the foundation for a seamless transition into technical development, mitigate reputational and transaction timeline risks, and create business assets with lasting strategic value.</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