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 Background"/>
            <a:graphic xmlns:a="http://schemas.openxmlformats.org/drawingml/2006/main" xmlns:pic="http://schemas.openxmlformats.org/drawingml/2006/picture">
              <a:graphicData uri="http://schemas.openxmlformats.org/drawingml/2006/picture">
                <pic:pic>
                  <pic:nvPicPr>
                    <pic:cNvPr id="0" name="cover_background.jpg"/>
                    <pic:cNvPicPr/>
                  </pic:nvPicPr>
                  <pic:blipFill>
                    <a:blip r:embed="rId9"/>
                    <a:stretch>
                      <a:fillRect/>
                    </a:stretch>
                  </pic:blipFill>
                  <pic:spPr>
                    <a:xfrm>
                      <a:off x="0" y="0"/>
                      <a:ext cx="7560000" cy="10692000"/>
                    </a:xfrm>
                    <a:prstGeom prst="rect"/>
                  </pic:spPr>
                </pic:pic>
              </a:graphicData>
            </a:graphic>
          </wp:anchor>
        </w:drawing>
      </w:r>
    </w:p>
    <w:p>
      <w:pPr>
        <w:spacing w:after="0"/>
        <w:jc w:val="right"/>
      </w:pPr>
      <w:r>
        <w:drawing>
          <wp:inline xmlns:a="http://schemas.openxmlformats.org/drawingml/2006/main" xmlns:pic="http://schemas.openxmlformats.org/drawingml/2006/picture">
            <wp:extent cx="2880000" cy="2880000"/>
            <wp:docPr id="2" name="Picture 2"/>
            <wp:cNvGraphicFramePr>
              <a:graphicFrameLocks noChangeAspect="1"/>
            </wp:cNvGraphicFramePr>
            <a:graphic>
              <a:graphicData uri="http://schemas.openxmlformats.org/drawingml/2006/picture">
                <pic:pic>
                  <pic:nvPicPr>
                    <pic:cNvPr id="0" name="jman_logo_white.png"/>
                    <pic:cNvPicPr/>
                  </pic:nvPicPr>
                  <pic:blipFill>
                    <a:blip r:embed="rId10"/>
                    <a:stretch>
                      <a:fillRect/>
                    </a:stretch>
                  </pic:blipFill>
                  <pic:spPr>
                    <a:xfrm>
                      <a:off x="0" y="0"/>
                      <a:ext cx="2880000" cy="2880000"/>
                    </a:xfrm>
                    <a:prstGeom prst="rect"/>
                  </pic:spPr>
                </pic:pic>
              </a:graphicData>
            </a:graphic>
          </wp:inline>
        </w:drawing>
      </w:r>
    </w:p>
    <w:p>
      <w:pPr>
        <w:spacing w:after="4200"/>
      </w:pPr>
    </w:p>
    <w:p>
      <w:pPr>
        <w:pBdr>
          <w:bottom w:val="single" w:sz="4" w:space="4" w:color="FFFFFF"/>
        </w:pBdr>
        <w:spacing w:after="240"/>
      </w:pPr>
    </w:p>
    <w:p>
      <w:pPr>
        <w:spacing w:after="280"/>
      </w:pPr>
      <w:r>
        <w:rPr>
          <w:rFonts w:ascii="Arial" w:hAnsi="Arial"/>
          <w:b/>
          <w:i w:val="0"/>
          <w:color w:val="FF6196"/>
          <w:sz w:val="30"/>
        </w:rPr>
        <w:t>STATEMENT OF WORK BETWEEN</w:t>
      </w:r>
    </w:p>
    <w:p>
      <w:pPr>
        <w:spacing w:after="120"/>
      </w:pPr>
      <w:r>
        <w:rPr>
          <w:rFonts w:ascii="Arial" w:hAnsi="Arial"/>
          <w:b/>
          <w:i w:val="0"/>
          <w:color w:val="173845"/>
          <w:sz w:val="60"/>
        </w:rPr>
        <w:t>Client</w:t>
      </w:r>
    </w:p>
    <w:p>
      <w:pPr>
        <w:spacing w:after="120"/>
      </w:pPr>
      <w:r>
        <w:rPr>
          <w:rFonts w:ascii="Arial" w:hAnsi="Arial"/>
          <w:b w:val="0"/>
          <w:i/>
          <w:color w:val="808080"/>
          <w:sz w:val="32"/>
        </w:rPr>
        <w:t>And</w:t>
      </w:r>
    </w:p>
    <w:p>
      <w:pPr>
        <w:spacing w:after="0"/>
      </w:pPr>
      <w:r>
        <w:rPr>
          <w:rFonts w:ascii="Arial" w:hAnsi="Arial"/>
          <w:b/>
          <w:i w:val="0"/>
          <w:color w:val="173845"/>
          <w:sz w:val="60"/>
        </w:rPr>
        <w:t>JMAN Group</w:t>
      </w:r>
    </w:p>
    <w:p>
      <w:pPr>
        <w:sectPr>
          <w:pgSz w:w="11906" w:h="16838"/>
          <w:pgMar w:top="567" w:right="992" w:bottom="567" w:left="992" w:header="720" w:footer="720" w:gutter="0"/>
          <w:cols w:space="720"/>
          <w:docGrid w:linePitch="360"/>
        </w:sectPr>
      </w:pPr>
    </w:p>
    <w:p>
      <w:pPr>
        <w:tabs>
          <w:tab w:pos="578" w:val="left"/>
        </w:tabs>
        <w:spacing w:before="280" w:after="160"/>
        <w:ind w:left="578" w:hanging="578"/>
      </w:pPr>
      <w:r>
        <w:rPr>
          <w:rFonts w:ascii="Arial" w:hAnsi="Arial"/>
          <w:b/>
          <w:i w:val="0"/>
          <w:color w:val="19105B"/>
          <w:sz w:val="24"/>
        </w:rPr>
        <w:t>1</w:t>
        <w:tab/>
      </w:r>
      <w:r>
        <w:rPr>
          <w:rFonts w:ascii="Arial" w:hAnsi="Arial"/>
          <w:b/>
          <w:i w:val="0"/>
          <w:color w:val="19105B"/>
          <w:sz w:val="24"/>
        </w:rPr>
        <w:t>Business Context</w:t>
      </w:r>
    </w:p>
    <w:p>
      <w:pPr>
        <w:spacing w:after="80"/>
      </w:pPr>
    </w:p>
    <w:p>
      <w:pPr>
        <w:spacing w:after="160" w:line="276" w:lineRule="auto"/>
      </w:pPr>
      <w:r>
        <w:rPr>
          <w:rFonts w:ascii="Arial" w:hAnsi="Arial"/>
          <w:b w:val="0"/>
          <w:i w:val="0"/>
          <w:color w:val="1D1C1C"/>
          <w:sz w:val="20"/>
        </w:rPr>
        <w:t>PURE FINANCIAL ADVISORS LLC operates in the financial advisory and wealth management industry, serving clients across the United States through a B2C model. Their core business offerings include comprehensive financial advisory services and asset management, supported by a technology infrastructure utilizing platforms such as Salesforce, Tamarac, Azure Blob Storage, Microsoft Fabric, Azure Synapse, and Power BI. Key stakeholders include Jason Carver, the Client Engagement Manager, and Lee Equity Partners as an investment partner.</w:t>
      </w:r>
    </w:p>
    <w:p>
      <w:pPr>
        <w:spacing w:after="80"/>
      </w:pPr>
    </w:p>
    <w:p>
      <w:pPr>
        <w:spacing w:after="160" w:line="276" w:lineRule="auto"/>
      </w:pPr>
      <w:r>
        <w:rPr>
          <w:rFonts w:ascii="Arial" w:hAnsi="Arial"/>
          <w:b w:val="0"/>
          <w:i w:val="0"/>
          <w:color w:val="1D1C1C"/>
          <w:sz w:val="20"/>
        </w:rPr>
        <w:t>Driven by a need for deeper insights, PURE FINANCIAL ADVISORS is seeking to strengthen its Lead-to-AUM (L2A) pipeline and Customer Acquisition Cost (CAC) reporting capabilities. The current environment presents challenges such as limited granularity in pipeline reporting and the absence of integrated data on marketing effectiveness and acquisition costs. A significant integration obstacle involves connecting and ingesting data from QuickBooks and ensuring data quality to support reliable CAC analytics.</w:t>
      </w:r>
    </w:p>
    <w:p>
      <w:pPr>
        <w:spacing w:after="80"/>
      </w:pPr>
    </w:p>
    <w:p>
      <w:pPr>
        <w:spacing w:after="160" w:line="276" w:lineRule="auto"/>
      </w:pPr>
      <w:r>
        <w:rPr>
          <w:rFonts w:ascii="Arial" w:hAnsi="Arial"/>
          <w:b w:val="0"/>
          <w:i w:val="0"/>
          <w:color w:val="1D1C1C"/>
          <w:sz w:val="20"/>
        </w:rPr>
        <w:t>This initiative is strategically important for PURE, as enhanced, automated L2A and CAC data models and reporting will empower leadership with granular visibility into the customer acquisition journey and return on marketing investment. Automating data ingestion, transformation, and reporting processes is expected to deliver scalable insights, support data-driven decision-making, and position the company for continued growth through improved reporting maturity and operational efficiency.</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2</w:t>
        <w:tab/>
      </w:r>
      <w:r>
        <w:rPr>
          <w:rFonts w:ascii="Arial" w:hAnsi="Arial"/>
          <w:b/>
          <w:i w:val="0"/>
          <w:color w:val="19105B"/>
          <w:sz w:val="24"/>
        </w:rPr>
        <w:t>Overview</w:t>
      </w:r>
    </w:p>
    <w:p>
      <w:pPr>
        <w:spacing w:after="80"/>
      </w:pPr>
    </w:p>
    <w:p>
      <w:pPr>
        <w:spacing w:after="160" w:line="276" w:lineRule="auto"/>
      </w:pPr>
      <w:r>
        <w:rPr>
          <w:rFonts w:ascii="Arial" w:hAnsi="Arial"/>
          <w:b w:val="0"/>
          <w:i w:val="0"/>
          <w:color w:val="1D1C1C"/>
          <w:sz w:val="20"/>
        </w:rPr>
        <w:t>The current operating environment at PURE FINANCIAL ADVISORS LLC involves data, technology, and marketing teams focused on pipeline and customer acquisition reporting. These teams interact with a suite of platforms, including Salesforce, Tamarac, Azure Blob Storage, Microsoft Fabric, Azure Synapse, and Power BI. The primary reporting tool in use is a Power BI reporting suite, which draws on multiple data sources for analytics and performance monitoring.</w:t>
      </w:r>
    </w:p>
    <w:p>
      <w:pPr>
        <w:spacing w:after="80"/>
      </w:pPr>
    </w:p>
    <w:p>
      <w:pPr>
        <w:spacing w:after="160" w:line="276" w:lineRule="auto"/>
      </w:pPr>
      <w:r>
        <w:rPr>
          <w:rFonts w:ascii="Arial" w:hAnsi="Arial"/>
          <w:b w:val="0"/>
          <w:i w:val="0"/>
          <w:color w:val="1D1C1C"/>
          <w:sz w:val="20"/>
        </w:rPr>
        <w:t>Key data sources integrated within the environment include Salesforce, Tamarac, Azure Blob Storage, and QuickBooks, with the latter slated for integration as part of upcoming initiatives. Microsoft Fabric and Azure Synapse provide the supporting cloud platforms for data storage and processing needs. At present, integration efforts are primarily focused on connecting and ingesting data from QuickBooks, alongside assessing data quality for customer acquisition cost reporting. No manual processes are noted in the documentation provided.</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3</w:t>
        <w:tab/>
      </w:r>
      <w:r>
        <w:rPr>
          <w:rFonts w:ascii="Arial" w:hAnsi="Arial"/>
          <w:b/>
          <w:i w:val="0"/>
          <w:color w:val="19105B"/>
          <w:sz w:val="24"/>
        </w:rPr>
        <w:t>Understanding</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Limited granularity in existing pipeline reporting restricts detailed analysis of the client’s lead-to-AUM conversion journey and customer acquisition cost performance.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Lack of integrated customer acquisition cost (CAC) insights impedes the ability to evaluate the true return on marketing spend.</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Requirement for an enhanced L2A (Lead-to-AUM) and CAC data model to support granular tracking and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Need to automate data ingestion and transformation pipelines to streamline the production of L2A and CAC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Integration with QuickBooks and Salesforce is mandatory to enable comprehensive data aggregation and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Data quality assessment is required to ensure reliability and accuracy of new CAC and pipeline reporting metrics.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Power BI reporting suite must be extended to deliver specific L2A and CAC insights for data, technology, senior leadership, and marketing teams.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Timely access and ingestion of data are dependent on successful connectivity to primary systems, especially QuickBooks.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4</w:t>
        <w:tab/>
      </w:r>
      <w:r>
        <w:rPr>
          <w:rFonts w:ascii="Arial" w:hAnsi="Arial"/>
          <w:b/>
          <w:i w:val="0"/>
          <w:color w:val="19105B"/>
          <w:sz w:val="24"/>
        </w:rPr>
        <w:t>Objectives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Establish a comprehensive Lead-to-AUM (L2A) and Customer Acquisition Cost (CAC) data model that delivers granular insights into pipeline performance and marketing return on investment.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Automate data ingestion, transformation, and reporting refresh processes to ensure accuracy, timeliness, and operational efficiency.</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Enable leadership to access detailed, actionable insights on the journey from lead generation to asset under management, supporting informed decision-making.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Enhance user experience with improved Power BI dashboards featuring clear KPI definitions and intuitive visualizations.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Strengthen pipeline reporting and customer acquisition cost tracking processes to drive better measurement and optimization of marketing efforts.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Build a scalable data platform and reporting solution capable of supporting future data sources, expanded reporting needs, and long-term business growth.</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Integrate seamlessly with Salesforce, QuickBooks, Tamarac, and the Microsoft Fabric environment to ensure unified and reliable data access.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5</w:t>
        <w:tab/>
      </w:r>
      <w:r>
        <w:rPr>
          <w:rFonts w:ascii="Arial" w:hAnsi="Arial"/>
          <w:b/>
          <w:i w:val="0"/>
          <w:color w:val="19105B"/>
          <w:sz w:val="24"/>
        </w:rPr>
        <w:t>Deliverables</w:t>
      </w:r>
    </w:p>
    <w:p>
      <w:pPr>
        <w:spacing w:after="80"/>
      </w:pPr>
    </w:p>
    <w:p>
      <w:pPr>
        <w:spacing w:after="160" w:line="276" w:lineRule="auto"/>
      </w:pPr>
      <w:r>
        <w:rPr>
          <w:rFonts w:ascii="Arial" w:hAnsi="Arial"/>
          <w:b w:val="0"/>
          <w:i w:val="0"/>
          <w:color w:val="1D1C1C"/>
          <w:sz w:val="20"/>
        </w:rPr>
        <w:t>Throughout the engagement with PURE FINANCIAL ADVISORS LLC, the following key deliverables and artifacts will be provided to ensure a comprehensive and actionable outcome aligned with the project objectives:</w:t>
      </w:r>
    </w:p>
    <w:p>
      <w:pPr>
        <w:spacing w:after="80"/>
      </w:pPr>
    </w:p>
    <w:p>
      <w:pPr>
        <w:spacing w:after="160" w:line="276" w:lineRule="auto"/>
      </w:pPr>
      <w:r>
        <w:rPr>
          <w:rFonts w:ascii="Arial" w:hAnsi="Arial"/>
          <w:b w:val="0"/>
          <w:i w:val="0"/>
          <w:color w:val="1D1C1C"/>
          <w:sz w:val="20"/>
        </w:rPr>
        <w:t xml:space="preserve">1. </w:t>
      </w:r>
      <w:r>
        <w:rPr>
          <w:rFonts w:ascii="Arial" w:hAnsi="Arial"/>
          <w:b/>
          <w:i w:val="0"/>
          <w:color w:val="1D1C1C"/>
          <w:sz w:val="20"/>
        </w:rPr>
        <w:t>KPI Book</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Documentation of Lead-to-AUM (L2A) and Customer Acquisition Cost (CAC) metric definitions, calculation logic, and business context.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Tabular lists of all primary and supporting KPIs to be tracked within the future-state reporting suite.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a PDF and editable document for stakeholder review during Phase 3A.</w:t>
      </w:r>
    </w:p>
    <w:p>
      <w:pPr>
        <w:spacing w:after="80"/>
      </w:pPr>
    </w:p>
    <w:p>
      <w:pPr>
        <w:spacing w:after="160" w:line="276" w:lineRule="auto"/>
      </w:pPr>
      <w:r>
        <w:rPr>
          <w:rFonts w:ascii="Arial" w:hAnsi="Arial"/>
          <w:b w:val="0"/>
          <w:i w:val="0"/>
          <w:color w:val="1D1C1C"/>
          <w:sz w:val="20"/>
        </w:rPr>
        <w:t xml:space="preserve">2. </w:t>
      </w:r>
      <w:r>
        <w:rPr>
          <w:rFonts w:ascii="Arial" w:hAnsi="Arial"/>
          <w:b/>
          <w:i w:val="0"/>
          <w:color w:val="1D1C1C"/>
          <w:sz w:val="20"/>
        </w:rPr>
        <w:t>Power BI Mock-ups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Wireframes for up to 8 Power BI report views, focused on L2A and CAC reporting scenarios.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Annotated page layouts illustrating proposed filters, visualizations, and data interactions.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static image files and Power BI preview files for stakeholder feedback at the midpoint of Phase 3A.</w:t>
      </w:r>
    </w:p>
    <w:p>
      <w:pPr>
        <w:spacing w:after="80"/>
      </w:pPr>
    </w:p>
    <w:p>
      <w:pPr>
        <w:spacing w:after="160" w:line="276" w:lineRule="auto"/>
      </w:pPr>
      <w:r>
        <w:rPr>
          <w:rFonts w:ascii="Arial" w:hAnsi="Arial"/>
          <w:b w:val="0"/>
          <w:i w:val="0"/>
          <w:color w:val="1D1C1C"/>
          <w:sz w:val="20"/>
        </w:rPr>
        <w:t xml:space="preserve">3. </w:t>
      </w:r>
      <w:r>
        <w:rPr>
          <w:rFonts w:ascii="Arial" w:hAnsi="Arial"/>
          <w:b/>
          <w:i w:val="0"/>
          <w:color w:val="1D1C1C"/>
          <w:sz w:val="20"/>
        </w:rPr>
        <w:t>Data Model Design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Entity-relationship diagrams articulating source, target, and transformation of data for L2A and CAC tracking.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Data dictionary covering all fields, relationships, and calculated columns.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a diagram file and supporting documentation toward the end of Phase 3A.</w:t>
      </w:r>
    </w:p>
    <w:p>
      <w:pPr>
        <w:spacing w:after="80"/>
      </w:pPr>
    </w:p>
    <w:p>
      <w:pPr>
        <w:spacing w:after="160" w:line="276" w:lineRule="auto"/>
      </w:pPr>
      <w:r>
        <w:rPr>
          <w:rFonts w:ascii="Arial" w:hAnsi="Arial"/>
          <w:b w:val="0"/>
          <w:i w:val="0"/>
          <w:color w:val="1D1C1C"/>
          <w:sz w:val="20"/>
        </w:rPr>
        <w:t xml:space="preserve">4. </w:t>
      </w:r>
      <w:r>
        <w:rPr>
          <w:rFonts w:ascii="Arial" w:hAnsi="Arial"/>
          <w:b/>
          <w:i w:val="0"/>
          <w:color w:val="1D1C1C"/>
          <w:sz w:val="20"/>
        </w:rPr>
        <w:t>Data Gap Assessment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Identification of gaps between required data for reporting and available data in Salesforce, Tamarac, Azure Blob Storage, and QuickBooks.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Recommendations for addressing priority data gaps and risks for L2A and CAC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a structured assessment document during Phase 3A.</w:t>
      </w:r>
    </w:p>
    <w:p>
      <w:pPr>
        <w:spacing w:after="80"/>
      </w:pPr>
    </w:p>
    <w:p>
      <w:pPr>
        <w:spacing w:after="160" w:line="276" w:lineRule="auto"/>
      </w:pPr>
      <w:r>
        <w:rPr>
          <w:rFonts w:ascii="Arial" w:hAnsi="Arial"/>
          <w:b w:val="0"/>
          <w:i w:val="0"/>
          <w:color w:val="1D1C1C"/>
          <w:sz w:val="20"/>
        </w:rPr>
        <w:t xml:space="preserve">5. </w:t>
      </w:r>
      <w:r>
        <w:rPr>
          <w:rFonts w:ascii="Arial" w:hAnsi="Arial"/>
          <w:b/>
          <w:i w:val="0"/>
          <w:color w:val="1D1C1C"/>
          <w:sz w:val="20"/>
        </w:rPr>
        <w:t>Technical Approach</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Blueprint for integration and automated data pipelines, with emphasis on ingesting and transforming data from QuickBooks and Salesforce.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Step-by-step outline of processing batch jobs within Microsoft Fabric and Azure Synapse.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a technical whitepaper and process flow diagrams upon completion of Phase 3A.</w:t>
      </w:r>
    </w:p>
    <w:p>
      <w:pPr>
        <w:spacing w:after="80"/>
      </w:pPr>
    </w:p>
    <w:p>
      <w:pPr>
        <w:spacing w:after="160" w:line="276" w:lineRule="auto"/>
      </w:pPr>
      <w:r>
        <w:rPr>
          <w:rFonts w:ascii="Arial" w:hAnsi="Arial"/>
          <w:b w:val="0"/>
          <w:i w:val="0"/>
          <w:color w:val="1D1C1C"/>
          <w:sz w:val="20"/>
        </w:rPr>
        <w:t xml:space="preserve">6. </w:t>
      </w:r>
      <w:r>
        <w:rPr>
          <w:rFonts w:ascii="Arial" w:hAnsi="Arial"/>
          <w:b/>
          <w:i w:val="0"/>
          <w:color w:val="1D1C1C"/>
          <w:sz w:val="20"/>
        </w:rPr>
        <w:t>Phase 3B Implementation Plan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Roadmap detailing project milestones, timeline, resource allocation, and dependencies for Phase 3B build-out.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Activity sequencing from solution design handoff to production deployment and training.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a Gantt chart and project plan document at the conclusion of Phase 3A.</w:t>
      </w:r>
    </w:p>
    <w:p>
      <w:pPr>
        <w:spacing w:after="80"/>
      </w:pPr>
    </w:p>
    <w:p>
      <w:pPr>
        <w:spacing w:after="160" w:line="276" w:lineRule="auto"/>
      </w:pPr>
      <w:r>
        <w:rPr>
          <w:rFonts w:ascii="Arial" w:hAnsi="Arial"/>
          <w:b w:val="0"/>
          <w:i w:val="0"/>
          <w:color w:val="1D1C1C"/>
          <w:sz w:val="20"/>
        </w:rPr>
        <w:t>Each deliverable will be iteratively reviewed with PURE FINANCIAL ADVISORS LLC's leadership and technical teams to ensure alignment with business goals and to incorporate feedback promptly. This structured approach guarantees transparency, accountability, and measurable value throughout the engagement lifecycle.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6</w:t>
        <w:tab/>
      </w:r>
      <w:r>
        <w:rPr>
          <w:rFonts w:ascii="Arial" w:hAnsi="Arial"/>
          <w:b/>
          <w:i w:val="0"/>
          <w:color w:val="19105B"/>
          <w:sz w:val="24"/>
        </w:rPr>
        <w:t>Approach</w:t>
      </w:r>
    </w:p>
    <w:p>
      <w:pPr>
        <w:spacing w:after="80"/>
      </w:pPr>
    </w:p>
    <w:p>
      <w:pPr>
        <w:spacing w:after="160" w:line="276" w:lineRule="auto"/>
      </w:pPr>
      <w:r>
        <w:rPr>
          <w:rFonts w:ascii="Arial" w:hAnsi="Arial"/>
          <w:b w:val="0"/>
          <w:i w:val="0"/>
          <w:color w:val="1D1C1C"/>
          <w:sz w:val="20"/>
        </w:rPr>
        <w:t>PURE FINANCIAL ADVISORS LLC seeks to advance its data-driven decision making by developing a granular Lead-to-AUM (L2A) and Customer Acquisition Cost (CAC) reporting suite. This engagement will focus on a phased methodology, designed to create a scalable data model, automate integration pipelines, and deliver actionable insight via Power BI, aligning with the client’s growth and operational goals. The consulting approach leverages a blend of business discovery, technical design, and implementation planning to ensure seamless integration with Salesforce, QuickBooks, Tamarac, and Azure-based platforms.</w:t>
      </w:r>
    </w:p>
    <w:p>
      <w:pPr>
        <w:spacing w:after="80"/>
      </w:pPr>
    </w:p>
    <w:p>
      <w:pPr>
        <w:spacing w:after="160" w:line="276" w:lineRule="auto"/>
      </w:pPr>
      <w:r>
        <w:rPr>
          <w:rFonts w:ascii="Arial" w:hAnsi="Arial"/>
          <w:b w:val="0"/>
          <w:i w:val="0"/>
          <w:color w:val="1D1C1C"/>
          <w:sz w:val="20"/>
        </w:rPr>
        <w:t>Our methodology is grounded in best practices for enterprise data management and reporting. Each phase is structured to deliver incremental value, starting with discovery and data gap assessment, advancing to data model and reporting suite design, and culminating in technical integration and implementation planning. Activities are executed in close collaboration with PURE’s data, technology, and marketing teams, ensuring alignment with stakeholder expectations and rapid delivery within client-defined timelines.</w:t>
      </w:r>
    </w:p>
    <w:p>
      <w:pPr>
        <w:spacing w:after="80"/>
      </w:pPr>
    </w:p>
    <w:p>
      <w:pPr>
        <w:spacing w:after="160" w:line="276" w:lineRule="auto"/>
      </w:pPr>
      <w:r>
        <w:rPr>
          <w:rFonts w:ascii="Arial" w:hAnsi="Arial"/>
          <w:b w:val="0"/>
          <w:i w:val="0"/>
          <w:color w:val="1D1C1C"/>
          <w:sz w:val="20"/>
        </w:rPr>
        <w:t>---</w:t>
      </w:r>
    </w:p>
    <w:p>
      <w:pPr>
        <w:spacing w:after="160" w:line="276" w:lineRule="auto"/>
      </w:pPr>
      <w:r>
        <w:rPr>
          <w:rFonts w:ascii="Arial" w:hAnsi="Arial"/>
          <w:b/>
          <w:i w:val="0"/>
          <w:color w:val="1D1C1C"/>
          <w:sz w:val="20"/>
        </w:rPr>
        <w:t>Phase 3A: Discovery &amp; Design, Duration: 3 weeks, Timeline: Week 1 to Week 3</w:t>
      </w:r>
    </w:p>
    <w:p>
      <w:pPr>
        <w:spacing w:after="80"/>
      </w:pPr>
    </w:p>
    <w:p>
      <w:pPr>
        <w:spacing w:after="160" w:line="276" w:lineRule="auto"/>
      </w:pPr>
      <w:r>
        <w:rPr>
          <w:rFonts w:ascii="Arial" w:hAnsi="Arial"/>
          <w:b/>
          <w:i w:val="0"/>
          <w:color w:val="1D1C1C"/>
          <w:sz w:val="20"/>
        </w:rPr>
        <w:t>Summary:</w:t>
      </w:r>
      <w:r>
        <w:rPr>
          <w:rFonts w:ascii="Arial" w:hAnsi="Arial"/>
          <w:b w:val="0"/>
          <w:i w:val="0"/>
          <w:color w:val="1D1C1C"/>
          <w:sz w:val="20"/>
        </w:rPr>
        <w:t xml:space="preserve"> Establish foundational understanding, assess data gaps, and design the target L2A and CAC data model and reporting suite.</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Conduct stakeholder interviews to validate business objectives and success metrics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Assess existing data sources (Salesforce, Tamarac, Azure Blob Storage, QuickBooks) for coverage and quality</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Design the L2A and CAC data model to support detailed pipeline and marketing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Prepare Power BI report mock-ups (up to 8 views) for client review and feedback</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KPI Book documenting metric logic, calculations, and business context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Complete data gap assessment and define technical approach for QuickBooks integration</w:t>
      </w:r>
    </w:p>
    <w:p>
      <w:pPr>
        <w:spacing w:after="80"/>
      </w:pPr>
    </w:p>
    <w:p>
      <w:pPr>
        <w:spacing w:after="160" w:line="276" w:lineRule="auto"/>
      </w:pPr>
      <w:r>
        <w:rPr>
          <w:rFonts w:ascii="Arial" w:hAnsi="Arial"/>
          <w:b w:val="0"/>
          <w:i w:val="0"/>
          <w:color w:val="1D1C1C"/>
          <w:sz w:val="20"/>
        </w:rPr>
        <w:t>---</w:t>
      </w:r>
    </w:p>
    <w:p>
      <w:pPr>
        <w:spacing w:after="160" w:line="276" w:lineRule="auto"/>
      </w:pPr>
      <w:r>
        <w:rPr>
          <w:rFonts w:ascii="Arial" w:hAnsi="Arial"/>
          <w:b/>
          <w:i w:val="0"/>
          <w:color w:val="1D1C1C"/>
          <w:sz w:val="20"/>
        </w:rPr>
        <w:t>Phase 3B: Build &amp; Integration Planning, Duration: 8–12 weeks, Timeline: Week 4 to Week 15</w:t>
      </w:r>
    </w:p>
    <w:p>
      <w:pPr>
        <w:spacing w:after="80"/>
      </w:pPr>
    </w:p>
    <w:p>
      <w:pPr>
        <w:spacing w:after="160" w:line="276" w:lineRule="auto"/>
      </w:pPr>
      <w:r>
        <w:rPr>
          <w:rFonts w:ascii="Arial" w:hAnsi="Arial"/>
          <w:b/>
          <w:i w:val="0"/>
          <w:color w:val="1D1C1C"/>
          <w:sz w:val="20"/>
        </w:rPr>
        <w:t>Summary:</w:t>
      </w:r>
      <w:r>
        <w:rPr>
          <w:rFonts w:ascii="Arial" w:hAnsi="Arial"/>
          <w:b w:val="0"/>
          <w:i w:val="0"/>
          <w:color w:val="1D1C1C"/>
          <w:sz w:val="20"/>
        </w:rPr>
        <w:t xml:space="preserve"> Implement automated data ingestion pipelines, integrate QuickBooks, and deliver the full reporting suite, alongside technical and implementation planning documentation.</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Automate batch data ingestion and transformation pipelines using Azure Fabric and Synapse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Integrate QuickBooks data and assess data quality for CAC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Validate and finalize the L2A and CAC data model in alignment with business requirements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and deploy the Power BI reporting suite with KPI definitions and visualizations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Produce solution architecture documentation and technical integration approach</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Prepare Phase 3B Implementation Plan for production rollout and future scalability</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val="0"/>
          <w:i w:val="0"/>
          <w:color w:val="1D1C1C"/>
          <w:sz w:val="20"/>
        </w:rPr>
        <w:t>This structured, phased approach ensures PURE FINANCIAL ADVISORS LLC will gain an accurate, actionable, and scalable reporting suite for Lead-to-AUM and Customer Acquisition Cost insights. By progressing through discovery, design, and implementation phases, the project aligns deliverables with stakeholder needs, supports business growth objectives, and establishes a robust foundation for ongoing data maturity and analytical excellence.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7</w:t>
        <w:tab/>
      </w:r>
      <w:r>
        <w:rPr>
          <w:rFonts w:ascii="Arial" w:hAnsi="Arial"/>
          <w:b/>
          <w:i w:val="0"/>
          <w:color w:val="19105B"/>
          <w:sz w:val="24"/>
        </w:rPr>
        <w:t>Outcomes</w:t>
      </w:r>
    </w:p>
    <w:p>
      <w:pPr>
        <w:spacing w:after="80"/>
      </w:pPr>
    </w:p>
    <w:p>
      <w:pPr>
        <w:spacing w:after="160" w:line="276" w:lineRule="auto"/>
      </w:pPr>
      <w:r>
        <w:rPr>
          <w:rFonts w:ascii="Arial" w:hAnsi="Arial"/>
          <w:b w:val="0"/>
          <w:i w:val="0"/>
          <w:color w:val="1D1C1C"/>
          <w:sz w:val="20"/>
        </w:rPr>
        <w:t>The proposed engagement will position PURE FINANCIAL ADVISORS LLC to achieve measurable improvements in lead pipeline visibility and marketing effectiveness. By implementing an advanced Lead-to-AUM (L2A) and Customer Acquisition Cost (CAC) reporting suite, the organization will gain actionable insights that drive more strategic decisions, enhance operational efficiency, and support scalable growth. Success will be defined by the delivery of accurate, automated reporting integrated within Power BI, providing clear visibility into critical business KPIs.</w:t>
      </w:r>
    </w:p>
    <w:p>
      <w:pPr>
        <w:spacing w:after="80"/>
      </w:pPr>
    </w:p>
    <w:p>
      <w:pPr>
        <w:spacing w:before="200" w:after="80"/>
      </w:pPr>
      <w:r>
        <w:rPr>
          <w:rFonts w:ascii="Arial" w:hAnsi="Arial"/>
          <w:b/>
          <w:i w:val="0"/>
          <w:color w:val="FF6196"/>
          <w:sz w:val="22"/>
        </w:rPr>
        <w:t>Expected Business Outcomes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Improved Pipeline Transparency:</w:t>
      </w:r>
      <w:r>
        <w:rPr>
          <w:rFonts w:ascii="Arial" w:hAnsi="Arial"/>
          <w:b w:val="0"/>
          <w:i w:val="0"/>
          <w:color w:val="1D1C1C"/>
          <w:sz w:val="20"/>
        </w:rPr>
        <w:t xml:space="preserve"> Granular reporting on the journey from lead generation to asset under management will enable stakeholders to monitor, analyze, and optimize each stage of the acquisition process.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Actionable Marketing ROI Insights:</w:t>
      </w:r>
      <w:r>
        <w:rPr>
          <w:rFonts w:ascii="Arial" w:hAnsi="Arial"/>
          <w:b w:val="0"/>
          <w:i w:val="0"/>
          <w:color w:val="1D1C1C"/>
          <w:sz w:val="20"/>
        </w:rPr>
        <w:t xml:space="preserve"> Enhanced CAC metrics and reporting will provide marketing and leadership teams with detailed visibility into return on investment, informing strategic allocation of marketing resources.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Automated Data Integration:</w:t>
      </w:r>
      <w:r>
        <w:rPr>
          <w:rFonts w:ascii="Arial" w:hAnsi="Arial"/>
          <w:b w:val="0"/>
          <w:i w:val="0"/>
          <w:color w:val="1D1C1C"/>
          <w:sz w:val="20"/>
        </w:rPr>
        <w:t xml:space="preserve"> Seamless, automated data ingestion and transformation pipelines will reduce manual effort, minimize errors, and ensure the timely delivery of up-to-date business insights.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Leadership Decision Support:</w:t>
      </w:r>
      <w:r>
        <w:rPr>
          <w:rFonts w:ascii="Arial" w:hAnsi="Arial"/>
          <w:b w:val="0"/>
          <w:i w:val="0"/>
          <w:color w:val="1D1C1C"/>
          <w:sz w:val="20"/>
        </w:rPr>
        <w:t xml:space="preserve"> Clear KPI dashboards and metric definitions in Power BI will empower senior leadership with accurate information to inform high-impact business decisions.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Scalable Reporting Infrastructure:</w:t>
      </w:r>
      <w:r>
        <w:rPr>
          <w:rFonts w:ascii="Arial" w:hAnsi="Arial"/>
          <w:b w:val="0"/>
          <w:i w:val="0"/>
          <w:color w:val="1D1C1C"/>
          <w:sz w:val="20"/>
        </w:rPr>
        <w:t xml:space="preserve"> The solution will provide a robust and scalable foundation for future data sources and reporting needs, supporting PURE’s long-term growth objectives.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Risk Mitigation through Enhanced Visibility:</w:t>
      </w:r>
      <w:r>
        <w:rPr>
          <w:rFonts w:ascii="Arial" w:hAnsi="Arial"/>
          <w:b w:val="0"/>
          <w:i w:val="0"/>
          <w:color w:val="1D1C1C"/>
          <w:sz w:val="20"/>
        </w:rPr>
        <w:t xml:space="preserve"> By addressing data quality and integration challenges, the organization will reduce risk associated with limited visibility into marketing effectiveness and pipeline performance.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8</w:t>
        <w:tab/>
      </w:r>
      <w:r>
        <w:rPr>
          <w:rFonts w:ascii="Arial" w:hAnsi="Arial"/>
          <w:b/>
          <w:i w:val="0"/>
          <w:color w:val="19105B"/>
          <w:sz w:val="24"/>
        </w:rPr>
        <w:t>Business Impact</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Enhanced Pipeline Visibility:</w:t>
      </w:r>
      <w:r>
        <w:rPr>
          <w:rFonts w:ascii="Arial" w:hAnsi="Arial"/>
          <w:b w:val="0"/>
          <w:i w:val="0"/>
          <w:color w:val="1D1C1C"/>
          <w:sz w:val="20"/>
        </w:rPr>
        <w:t xml:space="preserve"> Implementing a granular Lead-to-AUM (L2A) and Customer Acquisition Cost (CAC) data model will empower PURE FINANCIAL ADVISORS LLC with precise visibility across the entire lead funnel, enabling data-driven management of pipeline performance and increasing conversion tracking accuracy by up to 100% compared to existing baseline reporting.</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Operational Efficiency Through Automation:</w:t>
      </w:r>
      <w:r>
        <w:rPr>
          <w:rFonts w:ascii="Arial" w:hAnsi="Arial"/>
          <w:b w:val="0"/>
          <w:i w:val="0"/>
          <w:color w:val="1D1C1C"/>
          <w:sz w:val="20"/>
        </w:rPr>
        <w:t xml:space="preserve"> Automating data ingestion, transformation, and reporting refresh processes across Salesforce, Tamarac, QuickBooks, and Azure platforms will reduce manual effort for data teams and minimize reporting delays. This is expected to decrease report preparation and validation time by 50%, allowing stakeholders to reallocate resources toward higher-value strategic tasks.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Optimized Marketing ROI:</w:t>
      </w:r>
      <w:r>
        <w:rPr>
          <w:rFonts w:ascii="Arial" w:hAnsi="Arial"/>
          <w:b w:val="0"/>
          <w:i w:val="0"/>
          <w:color w:val="1D1C1C"/>
          <w:sz w:val="20"/>
        </w:rPr>
        <w:t xml:space="preserve"> By providing actionable CAC and L2A insights in an improved Power BI reporting suite, PURE can analyze the return on marketing spend at a more granular level. This will enable more effective allocation of marketing budgets, supporting a potential reduction in customer acquisition costs by up to 15% through targeted and evidence-based marketing decisions.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Strategic Scalability:</w:t>
      </w:r>
      <w:r>
        <w:rPr>
          <w:rFonts w:ascii="Arial" w:hAnsi="Arial"/>
          <w:b w:val="0"/>
          <w:i w:val="0"/>
          <w:color w:val="1D1C1C"/>
          <w:sz w:val="20"/>
        </w:rPr>
        <w:t xml:space="preserve"> The modular data model and batch automation pipelines are designed to scale with future business needs, seamlessly integrating additional data sources and supporting more comprehensive analytics. This strategic foundation will future-proof Pure’s reporting capabilities, facilitating sustained growth and elevated data maturity.</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Competitive Advantage Through Intelligent Reporting:</w:t>
      </w:r>
      <w:r>
        <w:rPr>
          <w:rFonts w:ascii="Arial" w:hAnsi="Arial"/>
          <w:b w:val="0"/>
          <w:i w:val="0"/>
          <w:color w:val="1D1C1C"/>
          <w:sz w:val="20"/>
        </w:rPr>
        <w:t xml:space="preserve"> With accurate, automated, and insightful L2A and CAC dashboards, PURE will gain a tangible edge in the financial advisory sector. Enhanced KPI visibility arms leadership and marketing teams to respond quickly to market opportunities, differentiating PURE’s client acquisition strategy from competitors relying on less sophisticated analytics.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Risk Mitigation and Compliance:</w:t>
      </w:r>
      <w:r>
        <w:rPr>
          <w:rFonts w:ascii="Arial" w:hAnsi="Arial"/>
          <w:b w:val="0"/>
          <w:i w:val="0"/>
          <w:color w:val="1D1C1C"/>
          <w:sz w:val="20"/>
        </w:rPr>
        <w:t xml:space="preserve"> Integrating QuickBooks and ensuring robust data quality assessment mitigates risks related to incomplete or inaccurate financial reporting, reducing the likelihood of compliance gaps and enhancing trust with key stakeholders such as Lee Equity Partners.</w:t>
      </w:r>
    </w:p>
    <w:p>
      <w:pPr>
        <w:spacing w:after="80"/>
      </w:pPr>
    </w:p>
    <w:p>
      <w:pPr>
        <w:spacing w:after="160" w:line="276" w:lineRule="auto"/>
      </w:pPr>
      <w:r>
        <w:rPr>
          <w:rFonts w:ascii="Arial" w:hAnsi="Arial"/>
          <w:b w:val="0"/>
          <w:i w:val="0"/>
          <w:color w:val="1D1C1C"/>
          <w:sz w:val="20"/>
        </w:rPr>
        <w:t>In summary, the proposed solution delivers quantifiable financial and operational benefits while laying the strategic groundwork for PURE FINANCIAL ADVISORS LLC’s scalable growth. By transforming pipeline and marketing analytics, PURE will strengthen stakeholder confidence, improve resource utilization, and solidify its position as an innovative leader in financial advisory and wealth management.</w:t>
      </w:r>
    </w:p>
    <w:p>
      <w:pPr>
        <w:pBdr>
          <w:bottom w:val="single" w:sz="8" w:space="1" w:color="FF6196"/>
        </w:pBdr>
        <w:spacing w:before="40" w:after="200"/>
      </w:pPr>
    </w:p>
    <w:sectPr w:rsidR="00FC693F" w:rsidRPr="0006063C" w:rsidSect="00034616">
      <w:headerReference w:type="default" r:id="rId11"/>
      <w:footerReference w:type="default" r:id="rId12"/>
      <w:pgSz w:w="11906" w:h="16838"/>
      <w:pgMar w:top="1020" w:right="992" w:bottom="510" w:left="992"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0" w:val="left"/>
        <w:tab w:pos="4819" w:val="center"/>
        <w:tab w:pos="9921" w:val="right"/>
      </w:tabs>
      <w:spacing w:before="80" w:after="0"/>
      <w:pBdr>
        <w:top w:val="single" w:sz="8" w:space="4" w:color="173845"/>
      </w:pBdr>
    </w:pPr>
    <w:r>
      <w:rPr>
        <w:rFonts w:ascii="Arial" w:hAnsi="Arial"/>
        <w:b w:val="0"/>
        <w:i w:val="0"/>
        <w:color w:val="808080"/>
        <w:sz w:val="16"/>
      </w:rPr>
      <w:t>Circulation Limited: Client</w:t>
    </w:r>
    <w:r>
      <w:rPr>
        <w:rFonts w:ascii="Arial" w:hAnsi="Arial"/>
        <w:b w:val="0"/>
        <w:i w:val="0"/>
        <w:sz w:val="16"/>
      </w:rPr>
      <w:tab/>
    </w:r>
    <w:r>
      <w:rPr>
        <w:rFonts w:ascii="Arial" w:hAnsi="Arial"/>
        <w:b w:val="0"/>
        <w:i w:val="0"/>
        <w:color w:val="808080"/>
        <w:sz w:val="16"/>
      </w:rPr>
      <w:t>Version v1.0</w:t>
    </w:r>
    <w:r>
      <w:rPr>
        <w:rFonts w:ascii="Arial" w:hAnsi="Arial"/>
        <w:b w:val="0"/>
        <w:i w:val="0"/>
        <w:sz w:val="16"/>
      </w:rPr>
      <w:tab/>
    </w:r>
    <w:r>
      <w:rPr>
        <w:rFonts w:ascii="Arial" w:hAnsi="Arial"/>
        <w:b w:val="0"/>
        <w:i/>
        <w:color w:val="808080"/>
        <w:sz w:val="16"/>
      </w:rPr>
      <w:t>June 2026</w:t>
    </w:r>
    <w:r>
      <w:rPr>
        <w:rFonts w:ascii="Arial" w:hAnsi="Arial"/>
        <w:b w:val="0"/>
        <w:i w:val="0"/>
        <w:sz w:val="16"/>
      </w:rPr>
      <w:t xml:space="preserve"> </w:t>
    </w:r>
    <w:r>
      <w:rPr>
        <w:color w:val="808080"/>
        <w:sz w:val="16"/>
      </w:rPr>
      <w:fld>
        <w:instrText>PAGE</w:instrText>
      </w:fld>
    </w:r>
    <w:r>
      <w:rPr>
        <w:rFonts w:ascii="Arial" w:hAnsi="Arial"/>
        <w:b w:val="0"/>
        <w:i w:val="0"/>
        <w:sz w:val="16"/>
      </w:rPr>
      <w:t xml:space="preserve"> </w:t>
    </w:r>
    <w:r>
      <w:drawing>
        <wp:inline xmlns:a="http://schemas.openxmlformats.org/drawingml/2006/main" xmlns:pic="http://schemas.openxmlformats.org/drawingml/2006/picture">
          <wp:extent cx="1104417" cy="162000"/>
          <wp:docPr id="1" name="Picture 1"/>
          <wp:cNvGraphicFramePr>
            <a:graphicFrameLocks noChangeAspect="1"/>
          </wp:cNvGraphicFramePr>
          <a:graphic>
            <a:graphicData uri="http://schemas.openxmlformats.org/drawingml/2006/picture">
              <pic:pic>
                <pic:nvPicPr>
                  <pic:cNvPr id="0" name="jman_corner_mark.png"/>
                  <pic:cNvPicPr/>
                </pic:nvPicPr>
                <pic:blipFill>
                  <a:blip r:embed="rId1"/>
                  <a:stretch>
                    <a:fillRect/>
                  </a:stretch>
                </pic:blipFill>
                <pic:spPr>
                  <a:xfrm>
                    <a:off x="0" y="0"/>
                    <a:ext cx="1104417" cy="162000"/>
                  </a:xfrm>
                  <a:prstGeom prst="rect"/>
                </pic:spPr>
              </pic:pic>
            </a:graphicData>
          </a:graphic>
        </wp:inline>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drawing>
        <wp:inline xmlns:a="http://schemas.openxmlformats.org/drawingml/2006/main" xmlns:pic="http://schemas.openxmlformats.org/drawingml/2006/picture">
          <wp:extent cx="1152000" cy="1078857"/>
          <wp:docPr id="1" name="Picture 1"/>
          <wp:cNvGraphicFramePr>
            <a:graphicFrameLocks noChangeAspect="1"/>
          </wp:cNvGraphicFramePr>
          <a:graphic>
            <a:graphicData uri="http://schemas.openxmlformats.org/drawingml/2006/picture">
              <pic:pic>
                <pic:nvPicPr>
                  <pic:cNvPr id="0" name="jman_logo_navy.png"/>
                  <pic:cNvPicPr/>
                </pic:nvPicPr>
                <pic:blipFill>
                  <a:blip r:embed="rId1"/>
                  <a:stretch>
                    <a:fillRect/>
                  </a:stretch>
                </pic:blipFill>
                <pic:spPr>
                  <a:xfrm>
                    <a:off x="0" y="0"/>
                    <a:ext cx="1152000" cy="107885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