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as a mid-market recruitment SaaS provider, offering a business-to-business software-as-a-service platform focused on recruitment solutions. The company's primary stakeholders in this initiative include the Client Engagement Manager (to be confirmed by VONQ), Paul Goodstadt from JM&amp;A Group, and Barclays in their advisory capacity. VONQ’s internal teams—specifically Finance, commercial/CRM, data and analytics, and senior leadership—are key participants in advancing this program.</w:t>
      </w:r>
    </w:p>
    <w:p>
      <w:pPr>
        <w:spacing w:after="80"/>
      </w:pPr>
    </w:p>
    <w:p>
      <w:pPr>
        <w:spacing w:after="160" w:line="276" w:lineRule="auto"/>
      </w:pPr>
      <w:r>
        <w:rPr>
          <w:rFonts w:ascii="Arial" w:hAnsi="Arial"/>
          <w:b w:val="0"/>
          <w:i w:val="0"/>
          <w:color w:val="1D1C1C"/>
          <w:sz w:val="20"/>
        </w:rPr>
        <w:t>The business is currently preparing for a near-term exit or sale process and requires a robust, scalable exit reporting suite to underpin both the transaction process and communications with critical stakeholders, such as advisors and prospective investors. Existing reporting relies on the Qlik Warehouse, integrating data from finance, CRM, and ERP systems, but suffers from gaps in investor-ready KPIs and lacks a comprehensive, refreshable reporting capability that clearly supports the equity narrative required for the M&amp;A process. Additional challenges include manual ingestion processes for certain data sources, data quality and completeness issues, and the absence of an automated, trended data view spanning at least three years.</w:t>
      </w:r>
    </w:p>
    <w:p>
      <w:pPr>
        <w:spacing w:after="80"/>
      </w:pPr>
    </w:p>
    <w:p>
      <w:pPr>
        <w:spacing w:after="160" w:line="276" w:lineRule="auto"/>
      </w:pPr>
      <w:r>
        <w:rPr>
          <w:rFonts w:ascii="Arial" w:hAnsi="Arial"/>
          <w:b w:val="0"/>
          <w:i w:val="0"/>
          <w:color w:val="1D1C1C"/>
          <w:sz w:val="20"/>
        </w:rPr>
        <w:t>This initiative is strategically significant as it directly supports VONQ’s ability to present a credible, data-driven equity story to potential acquirers and advisors, mitigating risks related to transaction delays and reputational impact. Success is defined by the delivery of an investor-ready KPI framework, conceptual dashboards, an extensible and scalable data model, and practical recommendations for tooling and implementation—all of which position VONQ to execute its exit strategy efficiently and transparently within a compressed transaction timeline.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operational environment involves multiple teams—including finance, commercial/CRM, data and analytics, and senior leadership—whose activities contribute to ongoing exit preparation and investor reporting. These teams are supported by a suite of established enterprise systems: the Finance System, CRM, and ERP collectively serve as the foundation for generating, managing, and storing key business data. The Qlik Warehouse functions as the central reporting and data platform, with Qlik-based reporting constituting the primary toolset for analytics and dashboarding.</w:t>
      </w:r>
    </w:p>
    <w:p>
      <w:pPr>
        <w:spacing w:after="80"/>
      </w:pPr>
    </w:p>
    <w:p>
      <w:pPr>
        <w:spacing w:after="160" w:line="276" w:lineRule="auto"/>
      </w:pPr>
      <w:r>
        <w:rPr>
          <w:rFonts w:ascii="Arial" w:hAnsi="Arial"/>
          <w:b w:val="0"/>
          <w:i w:val="0"/>
          <w:color w:val="1D1C1C"/>
          <w:sz w:val="20"/>
        </w:rPr>
        <w:t>Primary data sources feeding into this environment include the Finance System, CRM, ERP, and the Qlik Warehouse, with supplemental Excel datasets and external systems considered on a case-by-case basis. While the Qlik Warehouse provides the backbone for data aggregation and reporting, some source systems currently lack automated integration and require manual, one-off data ingestion. This creates a scenario where recurring data refresh processes must be established for systems that require regular updates during significant business events, such as the exit transaction. Legacy sources may also be leveraged to supply at least three years of trended data as needed. The existing cloud/data platform infrastructure is anchored by the Qlik Warehouse, which hosts core datasets and reporting assets.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core business problem is the absence of an investor-ready, scalable exit reporting suite to underpin the M&amp;A sale process and facilitate clear, data-backed equity narratives for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lack of investor-ready reporting, potential data gaps across source systems, and limitations in the Qlik Warehouse’s support for all KPIs required by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integration challenges stemming from the fact that some source systems do not have automated connections to the Qlik Warehouse, necessitating manual, one-off data ingestions or creation of new recurring refresh workflows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required capabilities are: clear equity narrative definition, a prioritized KPI framework, dashboard mock-ups, comprehensive data feasibility assessment, conceptual data model design, tooling recommendations, and an actionable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for data ingestion and refresh pipelines from source systems (Finance, CRM, ERP, and potentially legacy data), including recurring refresh for data that will be updated throughout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must be established between the Qlik Warehouse and the Finance System, CRM, ERP, as well as with legacy sources required to provide a minimum of three years’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 roles include senior leadership, exit advisors (Barclays), and potential acquirers/investors—each requiring tailored access to reporting aligned with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process is constrained by exit timeline pressures, stakeholder availability for workshops and review, timely provisioning of data access, and the quality and completeness of Qlik Warehouse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and compliance requirements have not been detailed within the provided questionnaire.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with clear equity narratives, a prioritised KPI framework, dashboard mock-ups, a scalable conceptual data model, and actionable tooling recommendations to support M&amp;A and investor communication goals.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and refresh pipelines from the Finance System, CRM, and ERP into the central data platform, enabling recurring and reliable data updates during the transaction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and stakeholders with investor-grade visibility into commercial, financial, and operational metrics necessary to underpin the equity narrative and accelerate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that improve user experience through clear KPI definitions, standardized calculation logic, and an easy-to-navigate structure, all aligned to defined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and enhance exit reporting processes, establish a prioritized KPI framework, and improve data infrastructure readiness to ensure credibility and data integrity for prospective buyers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solution is designed for scalability, with a data model and reporting suite extensible to new data sources and automatable beyond the immediate transaction, creating lasting business assets for VONQ’s future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seamless integration with all core source systems—Finance System, CRM, ERP, and Qlik Warehouse—with flexibility to assess additional tooling options for future optimization.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investor-grade equity narratives capturing VONQ’s value proposition and positioning for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summary reflecting the latest commercial, financial, and operational themes relevant to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presentation and narrative document during Week 1, for review and refinement in alignment workshops.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KPI framework defining “metrics that matter” for the equity narrative, covering commercial, financial, and operational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descriptions, calculation logic, and rationale for each KPI relevant to M&amp;A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Excel matrix and supporting documentation by the end of Week 1.</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dashboards, including layout, visualisation types,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Dashboard views mapped to stakeholder and investor needs, aligned to the defined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annotated PDF/PowerPoint deck by Week 2, to enable collaborative review.</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of current-state data availability and identification of key data gaps impacting reporting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Feasibility analysis covering all in-scope Finance, CRM, and ERP systems, and legacy datasets as agreed.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assessment document with recommendations by mid-Week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diagram mapping data flows from source systems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Supporting documentation outlining table structures, key entities, and relationships relevant to the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data model diagram and supporting notes in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technology options for scalable reporting suite delivery, including alternatives to Qlik where relevant.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 matrix with pros, cons, and rationale for tooling and integration choices.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decision support document and presentation in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roadmap covering key initiatives, dependencies, risks, and major milestones for solution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Initiative prioritisation, resource considerations, and clear handover plan for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roadmap slide deck and supporting document in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focused on designing a comprehensive, scalable exit reporting suite to underpin the company’s near-term M&amp;A sale process. Our methodology emphasizes collaborative discovery, business alignment, and practical design artefacts that directly support investor communications and future technical implementation. The project centers on extracting maximum strategic value from VONQ’s existing data ecosystem (Finance System, CRM, ERP, Qlik Warehouse), while identifying—and bridging—critical data gaps and workflow inefficiencies.</w:t>
      </w:r>
    </w:p>
    <w:p>
      <w:pPr>
        <w:spacing w:after="80"/>
      </w:pPr>
    </w:p>
    <w:p>
      <w:pPr>
        <w:spacing w:after="160" w:line="276" w:lineRule="auto"/>
      </w:pPr>
      <w:r>
        <w:rPr>
          <w:rFonts w:ascii="Arial" w:hAnsi="Arial"/>
          <w:b w:val="0"/>
          <w:i w:val="0"/>
          <w:color w:val="1D1C1C"/>
          <w:sz w:val="20"/>
        </w:rPr>
        <w:t>The approach is structured as a single, 4-week Discovery &amp; Design phase. This phase will leverage structured workshops, stakeholder collaboration, data analysis, and rapid prototyping to define equity narratives, a prioritized KPI framework, static dashboard mock-ups, a conceptual data model, tooling recommendations, and an actionable implementation roadmap. All workstreams are aligned to the exit timeline and will be delivered iteratively to ensure real-time validation and preparedness for subsequent technical build-out.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defining VONQ’s equity narratives, designing a prioritized KPI framework, developing dashboard mock-ups, assessing data feasibility, mapping a conceptual data model, and producing tooling recommendations and a roadmap for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project kickoff session and stakeholder alignment workshops, including requirements gathering with finance, commercial, data/analytics, and leadership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document investor-aligned equity narratives and “metrics that matter” KPI framework, prioritizing commercial, financial, and operational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Inventory and assess existing Qlik Warehouse data, CRM, Finance, and ERP systems; perform a data gap analysis and feasibility assessment for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highlighting layout, navigation, and representative KPI visualizations aligned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conceptual data model and high-level integration approach, using the Qlik Warehouse as the core platform and mapping required connections to Finance, CRM, ERP, and potential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and recommend tooling options (including pros and cons) for data ingestion, transformation, visualization, and refresh processes; prepare a detailed implementation roadmap specifying use case priorities, dependencies, risks, and milestones for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At the conclusion of Phase 1, VONQ will have a validated set of design artefacts: equity narratives, KPI framework, dashboard mock-ups, a conceptual data model, tooling recommendations, and an actionable roadmap. These deliverables will provide a clear, investor-ready blueprint for technical implementation, mitigate risks associated with incomplete reporting, and position the client for a successful transaction outcome within the desired timeline. The phased and collaborative approach ensures business objectives are met while enabling rapid mobilization for Phase 2 development.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equip VONQ with a validated exit reporting design that strengthens its M&amp;A readiness and investor communications. By defining a robust equity narrative, establishing a prioritized KPI framework, and mapping data gaps, the project ensures that senior leadership, advisors, and potential acquirers can access clear, actionable insights. Success is measured by the client's ability to confidently present data-backed narratives and initiate Phase 2 of the exit process within the projected timeline.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Provides a fully validated design for dashboards and reporting, enabling leadership to communicate a credible equity story to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Prioritised KPI Framework:</w:t>
      </w:r>
      <w:r>
        <w:rPr>
          <w:rFonts w:ascii="Arial" w:hAnsi="Arial"/>
          <w:b w:val="0"/>
          <w:i w:val="0"/>
          <w:color w:val="1D1C1C"/>
          <w:sz w:val="20"/>
        </w:rPr>
        <w:t xml:space="preserve"> Delivers a structured set of commercial, financial, and operational KPIs aligned to investor requirements and the equity narrative, supporting informed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Data Gap Identification:</w:t>
      </w:r>
      <w:r>
        <w:rPr>
          <w:rFonts w:ascii="Arial" w:hAnsi="Arial"/>
          <w:b w:val="0"/>
          <w:i w:val="0"/>
          <w:color w:val="1D1C1C"/>
          <w:sz w:val="20"/>
        </w:rPr>
        <w:t xml:space="preserve"> Offers visibility into missing or inconsistent data across source systems, with defined remediation priorities to ensure completeness ahead of transaction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Model Foundations:</w:t>
      </w:r>
      <w:r>
        <w:rPr>
          <w:rFonts w:ascii="Arial" w:hAnsi="Arial"/>
          <w:b w:val="0"/>
          <w:i w:val="0"/>
          <w:color w:val="1D1C1C"/>
          <w:sz w:val="20"/>
        </w:rPr>
        <w:t xml:space="preserve"> Establishes a flexible conceptual data model that can integrate additional sources and support recurring refreshes post-transaction, securing long-term business asset value.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Preparation:</w:t>
      </w:r>
      <w:r>
        <w:rPr>
          <w:rFonts w:ascii="Arial" w:hAnsi="Arial"/>
          <w:b w:val="0"/>
          <w:i w:val="0"/>
          <w:color w:val="1D1C1C"/>
          <w:sz w:val="20"/>
        </w:rPr>
        <w:t xml:space="preserve"> Facilitates a swift, stakeholder-driven design process, enabling VONQ to initiate Phase 2 build activities without delay and maintain alignment with exit timeline constraints.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Reduces reputational risk and builds trust with advisors, potential buyers, and leadership by demonstrating rigorous data readiness and structured exit planning.</w:t>
      </w:r>
    </w:p>
    <w:p>
      <w:pPr>
        <w:spacing w:after="80"/>
      </w:pPr>
    </w:p>
    <w:p>
      <w:pPr>
        <w:spacing w:after="160" w:line="276" w:lineRule="auto"/>
      </w:pPr>
      <w:r>
        <w:rPr>
          <w:rFonts w:ascii="Arial" w:hAnsi="Arial"/>
          <w:b w:val="0"/>
          <w:i w:val="0"/>
          <w:color w:val="1D1C1C"/>
          <w:sz w:val="20"/>
        </w:rPr>
        <w:t>These outcomes directly address VONQ’s strategic objectives, ensuring successful Phase 1 completion and positioning the business for a seamless transition into Phase 2 of the exit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M&amp;A Readiness:</w:t>
      </w:r>
      <w:r>
        <w:rPr>
          <w:rFonts w:ascii="Arial" w:hAnsi="Arial"/>
          <w:b w:val="0"/>
          <w:i w:val="0"/>
          <w:color w:val="1D1C1C"/>
          <w:sz w:val="20"/>
        </w:rPr>
        <w:t xml:space="preserve"> Delivering a dedicated exit reporting suite—including a refreshable data cube and dashboards—enables VONQ to expedite its sale process and meet critical exit milestones efficiently, minimizing the risk of transaction delays and maximizing deal velocity.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Financial Visibility:</w:t>
      </w:r>
      <w:r>
        <w:rPr>
          <w:rFonts w:ascii="Arial" w:hAnsi="Arial"/>
          <w:b w:val="0"/>
          <w:i w:val="0"/>
          <w:color w:val="1D1C1C"/>
          <w:sz w:val="20"/>
        </w:rPr>
        <w:t xml:space="preserve"> Establishing a clear, equity narrative-aligned KPI framework ensures that senior leadership and advisors can present transparent, data-backed business performance metrics, directly supporting valuation discussions and enhancing buyer confidence.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Efficiencies Through Automation:</w:t>
      </w:r>
      <w:r>
        <w:rPr>
          <w:rFonts w:ascii="Arial" w:hAnsi="Arial"/>
          <w:b w:val="0"/>
          <w:i w:val="0"/>
          <w:color w:val="1D1C1C"/>
          <w:sz w:val="20"/>
        </w:rPr>
        <w:t xml:space="preserve"> Introducing refreshable data pipelines from Finance, CRM, and ERP systems into the Qlik Warehouse will streamline manual reporting activities, reducing manual data handling by an estimated 30–50% during the transaction period and lowering risk of error.</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and Narrative Control:</w:t>
      </w:r>
      <w:r>
        <w:rPr>
          <w:rFonts w:ascii="Arial" w:hAnsi="Arial"/>
          <w:b w:val="0"/>
          <w:i w:val="0"/>
          <w:color w:val="1D1C1C"/>
          <w:sz w:val="20"/>
        </w:rPr>
        <w:t xml:space="preserve"> By identifying and prioritizing the most impactful KPIs, and mapping current data gaps, VONQ is equipped to craft authoritative, evidence-driven equity stories, strengthening its positioning with acquirers and increasing perceived enterprise value.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and Future-Proofing:</w:t>
      </w:r>
      <w:r>
        <w:rPr>
          <w:rFonts w:ascii="Arial" w:hAnsi="Arial"/>
          <w:b w:val="0"/>
          <w:i w:val="0"/>
          <w:color w:val="1D1C1C"/>
          <w:sz w:val="20"/>
        </w:rPr>
        <w:t xml:space="preserve"> A conceptual data model and clear implementation roadmap lay the foundation for a reporting infrastructure that can scale post-transaction; these assets will drive ongoing automation and analytics capability, future-proofing VONQ’s data environment for emerging business needs.</w:t>
      </w:r>
    </w:p>
    <w:p>
      <w:pPr>
        <w:spacing w:after="80"/>
      </w:pPr>
    </w:p>
    <w:p>
      <w:pPr>
        <w:spacing w:after="160" w:line="276" w:lineRule="auto"/>
      </w:pPr>
      <w:r>
        <w:rPr>
          <w:rFonts w:ascii="Arial" w:hAnsi="Arial"/>
          <w:b w:val="0"/>
          <w:i w:val="0"/>
          <w:color w:val="1D1C1C"/>
          <w:sz w:val="20"/>
        </w:rPr>
        <w:t>This engagement positions VONQ to achieve a smooth, timely, and successful exit by delivering investor-ready analytics and dashboards, reducing manual effort, and establishing a scalable reporting foundation. The result is maximized deal value, stronger stakeholder credibility, and a lasting business asset that supports both near-term transaction objectives and long-term strategic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