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VONQ is a mid-market recruitment SaaS provider specializing in business-to-business software solutions for talent acquisition. The company delivers a recruitment software-as-a-service platform that supports its clients in automating and optimizing hiring processes. Key business stakeholders in this initiative include the Client Engagement Manager (to be confirmed), Paul Goodstadt as Service Provider Engagement Manager, and Barclays as VONQ’s advisors.</w:t>
      </w:r>
    </w:p>
    <w:p>
      <w:pPr>
        <w:spacing w:after="80"/>
      </w:pPr>
    </w:p>
    <w:p>
      <w:pPr>
        <w:spacing w:after="160" w:line="276" w:lineRule="auto"/>
      </w:pPr>
      <w:r>
        <w:rPr>
          <w:rFonts w:ascii="Arial" w:hAnsi="Arial"/>
          <w:b w:val="0"/>
          <w:i w:val="0"/>
          <w:color w:val="1D1C1C"/>
          <w:sz w:val="20"/>
        </w:rPr>
        <w:t>VONQ is initiating this project as it prepares for a near-term exit and sale process. The company's leadership has identified the need for a scalable, investor-ready exit reporting suite, consisting of a refreshable data cube, dashboards, and comprehensive supporting documentation, to underpin transaction communications and meet stakeholder expectations during the M&amp;A sale. Current reporting relies on the Qlik Warehouse, alongside Finance System, CRM, and ERP platforms, but gaps remain in investor-grade visibility, KPI standardization, and seamless data integration—particularly across legacy datasets and manual ingestion requirements.</w:t>
      </w:r>
    </w:p>
    <w:p>
      <w:pPr>
        <w:spacing w:after="80"/>
      </w:pPr>
    </w:p>
    <w:p>
      <w:pPr>
        <w:spacing w:after="160" w:line="276" w:lineRule="auto"/>
      </w:pPr>
      <w:r>
        <w:rPr>
          <w:rFonts w:ascii="Arial" w:hAnsi="Arial"/>
          <w:b w:val="0"/>
          <w:i w:val="0"/>
          <w:color w:val="1D1C1C"/>
          <w:sz w:val="20"/>
        </w:rPr>
        <w:t>This engagement is strategically crucial as it directly supports VONQ’s equity narrative and transaction readiness. By designing a scalable reporting solution and automating data pipelines, VONQ aims to achieve transparent, credible, and timely insights for senior leadership, exit advisors, and prospective acquirers. The project will address current limitations in reporting, support rigorous investor scrutiny, and provide lasting assets that facilitate both immediate transaction needs and future scalability, ensuring VONQ’s data infrastructure remains robust and adaptable post-sale.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VONQ’s current operations involve several internal teams, specifically finance, commercial/CRM, data/analytics, and senior leadership. These groups are actively engaged in activities related to exit preparation and investor reporting. The processes underway leverage an established ecosystem of business systems, including the Finance System, CRM, ERP, and the Qlik Warehouse, which serves as the primary data and reporting platform.</w:t>
      </w:r>
    </w:p>
    <w:p>
      <w:pPr>
        <w:spacing w:after="80"/>
      </w:pPr>
    </w:p>
    <w:p>
      <w:pPr>
        <w:spacing w:after="160" w:line="276" w:lineRule="auto"/>
      </w:pPr>
      <w:r>
        <w:rPr>
          <w:rFonts w:ascii="Arial" w:hAnsi="Arial"/>
          <w:b w:val="0"/>
          <w:i w:val="0"/>
          <w:color w:val="1D1C1C"/>
          <w:sz w:val="20"/>
        </w:rPr>
        <w:t>Reporting and analytics at VONQ are managed through Qlik-based tools, utilizing the Qlik Warehouse and associated modules. Data is sourced from the Finance System, CRM, ERP, as well as supporting Excel-based datasets and potentially other external sources. The Qlik Warehouse forms the backbone of the organization’s cloud/platform infrastructure, facilitating data consolidation and access for trended data spanning a minimum of three years, with legacy sources included as required.</w:t>
      </w:r>
    </w:p>
    <w:p>
      <w:pPr>
        <w:spacing w:after="80"/>
      </w:pPr>
    </w:p>
    <w:p>
      <w:pPr>
        <w:spacing w:after="160" w:line="276" w:lineRule="auto"/>
      </w:pPr>
      <w:r>
        <w:rPr>
          <w:rFonts w:ascii="Arial" w:hAnsi="Arial"/>
          <w:b w:val="0"/>
          <w:i w:val="0"/>
          <w:color w:val="1D1C1C"/>
          <w:sz w:val="20"/>
        </w:rPr>
        <w:t>Integration across these systems faces select challenges; not all source systems have automated connections into the Qlik Warehouse, necessitating manual, one-off data ingestion. Where ongoing data refresh is required during the transaction, a recurring refresh process is set to be established. This current-state framework supports exit-related reporting but relies on both automated and manual processes for comprehensive data coverage and integration.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currently a lack of investor-ready reporting to support VONQ’s M&amp;A sale process and associated stakeholder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gaps exist across source systems, with the Qlik Warehouse not fully covering all KPIs required for a compelling equity narrative.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Manual, one-off data ingestion is needed for some systems due to absence of automated connections with the Qlik Warehouse, impacting efficiency and timeliness.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a requirement for definition of equity narratives, a prioritised KPI framework, dashboard mock-ups, data feasibility assessment, conceptual data model design, tooling recommendations, and a phased implementation roadmap.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Automation is needed for data ingestion and refresh pipelines from the Finance System, CRM, ERP, and legacy sources into the Qlik Warehouse, including recurring updates during the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Senior leadership, exit advisors (Barclays), and potential acquirers/investors are the primary user roles expected to interact with or rely on the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the Finance System, CRM, ERP, and legacy sources for a minimum of three years of trended data into the Qlik Warehouse.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Constraints include exit timeline pressures, timely data access, stakeholder availability for workshops, and ensuring quality and completeness of existing Qlik Warehouse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fully designed exit reporting suite with clear equity narratives and a prioritised KPI framework to support the M&amp;A sale process and investor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automated, refreshable data ingestion pipelines from core source systems and recurring data refresh for transaction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senior leadership, advisors, and investors with investor-grade visibility into key commercial, financial, and operational metrics aligned to the equity narrative.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intuitive dashboards with well-defined KPI calculation logic and structured navigation to enhance user experience for stakeholder groups.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Standardise exit reporting processes and ensure data infrastructure readiness to meet investor scrutiny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scalable conceptual data model and reporting solution that can integrate with Finance System, CRM, ERP, Qlik Warehouse, and additional data sources, supporting future extensibility and automation post-transaction.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VONQ,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Equity Narratives Definition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articulation of the business’s equity stories to underpin M&amp;A sale positioning.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narrative themes supported by data-driven rationale.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structured report and presented in stakeholder workshops.</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"Metrics that Matter" KPI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Prioritised inventory of commercial, financial, and operational KPIs required for investor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KPI definitions include calculation logic, data source mapping, and periodicity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as a spreadsheet and supporting documentation for immediate use and ongoing updates.</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Dashboard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Static visual mock-ups illustrating proposed dashboard layouts, navigation, and key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Wireframes covering essential views aligned to equity narratives.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PDF and image formats for review, feedback, and workshop session walkthroughs.</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Feasibility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Evaluation of available data across Finance, CRM, ERP, and legacy sources covering a minimum three-year trending requirement.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playback of current-state data gaps, integration readiness, and completeness by source system.</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detailed findings report with recommendations for remediation priorities.</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Conceptual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High-level architecture of the data model, built around Qlik Warehouse as the core reporting foundation.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Entity relationships, data flows, and key attribute documentation to support dashboard and KPI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as a diagrammatic model with supporting technical notes, delivered in PowerPoint and PDF formats.</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Data Infrastructure and Tooling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Assessment of current and alternative reporting tools, platform options, and integration approaches.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Summary of pros, cons, and trade-offs for each tooling/infrastructure recommendation in context of scalability and exit-readiness.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comparative analysis matrix and executive summary document.</w:t>
      </w:r>
    </w:p>
    <w:p>
      <w:pPr>
        <w:spacing w:after="80"/>
      </w:pPr>
    </w:p>
    <w:p>
      <w:pPr>
        <w:spacing w:after="160" w:line="276" w:lineRule="auto"/>
      </w:pPr>
      <w:r>
        <w:rPr>
          <w:rFonts w:ascii="Arial" w:hAnsi="Arial"/>
          <w:b w:val="0"/>
          <w:i w:val="0"/>
          <w:color w:val="1D1C1C"/>
          <w:sz w:val="20"/>
        </w:rPr>
        <w:t xml:space="preserve">7. </w:t>
      </w:r>
      <w:r>
        <w:rPr>
          <w:rFonts w:ascii="Arial" w:hAnsi="Arial"/>
          <w:b/>
          <w:i w:val="0"/>
          <w:color w:val="1D1C1C"/>
          <w:sz w:val="20"/>
        </w:rPr>
        <w:t>Implementation Roadmap for Phase 2</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Phased plan outlining sequencing of key implementation activities, dependencies, risks, and milestones.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Clearly defined ownership, timelines, and critical paths to guide the next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an implementation plan document and Gantt chart, with risks and assumptions logged for reference.</w:t>
      </w:r>
    </w:p>
    <w:p>
      <w:pPr>
        <w:spacing w:after="80"/>
      </w:pPr>
    </w:p>
    <w:p>
      <w:pPr>
        <w:spacing w:after="160" w:line="276" w:lineRule="auto"/>
      </w:pPr>
      <w:r>
        <w:rPr>
          <w:rFonts w:ascii="Arial" w:hAnsi="Arial"/>
          <w:b w:val="0"/>
          <w:i w:val="0"/>
          <w:color w:val="1D1C1C"/>
          <w:sz w:val="20"/>
        </w:rPr>
        <w:t>Each deliverable will be iteratively reviewed with VONQ's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VONQ is preparing for a near-term exit and requires a comprehensive, scalable exit reporting suite to support the M&amp;A process and stakeholder communications. Our engagement methodology leverages a structured, stakeholder-driven discovery and design approach to ensure that all business-critical requirements are surfaced, validated, and translated into actionable design artifacts for rapid execution. Throughout the engagement, we will work collaboratively with key client stakeholders and advisors to align deliverables to both internal priorities and investor expectations, while ensuring data feasibility, automation readiness, and future scalability.</w:t>
      </w:r>
    </w:p>
    <w:p>
      <w:pPr>
        <w:spacing w:after="80"/>
      </w:pPr>
    </w:p>
    <w:p>
      <w:pPr>
        <w:spacing w:after="160" w:line="276" w:lineRule="auto"/>
      </w:pPr>
      <w:r>
        <w:rPr>
          <w:rFonts w:ascii="Arial" w:hAnsi="Arial"/>
          <w:b w:val="0"/>
          <w:i w:val="0"/>
          <w:color w:val="1D1C1C"/>
          <w:sz w:val="20"/>
        </w:rPr>
        <w:t>The engagement will be executed in clearly defined phases, each with specific objectives, activities, and output artifacts. The methodology emphasizes iterative workshops, stakeholder playback, and transparent trade-off analysis to de-risk the future technical build and provide immediate clarity for decision-makers. All work will strictly adhere to the four-week delivery timeline, ensuring alignment with VONQ’s exit objectives and timeline constraints.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Design, Duration: 4 weeks, Timeline: 29 June 2026 to 24 July 2026</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will define the equity narratives, prioritise KPIs, validate data feasibility, design dashboards and data models, and set out a clear implementation roadmap for the exit reporting suite.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a kick-off workshop with key stakeholders to confirm objectives, review data access, and agree detailed timelines.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the equity narratives, covering commercial, financial, and operational dimensions critical to M&amp;A positioning.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the "Metrics that Matter" KPI framework and hold stakeholder sessions to prioritise and validate key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data feasibility, including gap analysis across Finance System, CRM, ERP, and legacy sources, and playback current-state data quality and integration findings.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static dashboard mock-ups and wireframes, illustrating proposed metrics, layouts, and navigation structures.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conceptual data model using Qlik Warehouse as the foundation, and produce tooling recommendations with trade-off analysis and a phased implementation roadmap.</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In summary, our phased approach will deliver a validated exit reporting design—including equity narratives, KPI frameworks, dashboard concepts, and a conceptual data model—with a clear roadmap to guide the technical implementation. By anchoring our methodology in stakeholder collaboration, data-driven analysis, and actionable design decisions, we ensure VONQ is equipped with investor-ready reporting assets that can underpin the M&amp;A process and support long-term business scalability. This structured approach minimises risk and positions VONQ to move confidently into the build phase on an accelerated timetable.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empower VONQ to confidently navigate its upcoming exit process by establishing a robust, investor-ready reporting suite. By aligning data, KPIs, and dashboards to the equity narrative, VONQ will strengthen credibility with acquirers and advisors, mitigate transaction risks, and accelerate stakeholder communications. The measurable impact will be seen through standardized, automated reporting that supports informed decision-making and seamless transition to the next transaction phase.</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Investor-Ready Reporting Design:</w:t>
      </w:r>
      <w:r>
        <w:rPr>
          <w:rFonts w:ascii="Arial" w:hAnsi="Arial"/>
          <w:b w:val="0"/>
          <w:i w:val="0"/>
          <w:color w:val="1D1C1C"/>
          <w:sz w:val="20"/>
        </w:rPr>
        <w:t xml:space="preserve"> A validated and scalable exit reporting framework, underpinned by clear equity narratives and prioritised KPIs, will enable transparent communication with potential acquirers and advisors.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Data Gap Analysis:</w:t>
      </w:r>
      <w:r>
        <w:rPr>
          <w:rFonts w:ascii="Arial" w:hAnsi="Arial"/>
          <w:b w:val="0"/>
          <w:i w:val="0"/>
          <w:color w:val="1D1C1C"/>
          <w:sz w:val="20"/>
        </w:rPr>
        <w:t xml:space="preserve"> Identification and prioritisation of data gaps will guide remediation efforts, ensuring all critical financial, commercial, and operational data is available and reliable for investor scrutiny.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Stakeholder Confidence:</w:t>
      </w:r>
      <w:r>
        <w:rPr>
          <w:rFonts w:ascii="Arial" w:hAnsi="Arial"/>
          <w:b w:val="0"/>
          <w:i w:val="0"/>
          <w:color w:val="1D1C1C"/>
          <w:sz w:val="20"/>
        </w:rPr>
        <w:t xml:space="preserve"> Transparent, intuitive dashboards and well-defined KPI logic will provide senior leadership and advisors with consistent, trusted visibility into business performance, reducing the risk of delays and reputational concerns.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Transaction Readiness:</w:t>
      </w:r>
      <w:r>
        <w:rPr>
          <w:rFonts w:ascii="Arial" w:hAnsi="Arial"/>
          <w:b w:val="0"/>
          <w:i w:val="0"/>
          <w:color w:val="1D1C1C"/>
          <w:sz w:val="20"/>
        </w:rPr>
        <w:t xml:space="preserve"> Automated, refreshable data pipelines and a detailed implementation roadmap will expedite the exit process, allowing VONQ to meet tight transaction timelines and requirements.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Post-Transaction Capability:</w:t>
      </w:r>
      <w:r>
        <w:rPr>
          <w:rFonts w:ascii="Arial" w:hAnsi="Arial"/>
          <w:b w:val="0"/>
          <w:i w:val="0"/>
          <w:color w:val="1D1C1C"/>
          <w:sz w:val="20"/>
        </w:rPr>
        <w:t xml:space="preserve"> The future-state reporting suite and data model will serve as lasting business assets, designed for ongoing scalability and automation beyond the immediate M&amp;A process.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Mitigation of Exit-Related Risks:</w:t>
      </w:r>
      <w:r>
        <w:rPr>
          <w:rFonts w:ascii="Arial" w:hAnsi="Arial"/>
          <w:b w:val="0"/>
          <w:i w:val="0"/>
          <w:color w:val="1D1C1C"/>
          <w:sz w:val="20"/>
        </w:rPr>
        <w:t xml:space="preserve"> By delivering standardized, investor-grade reporting and process automation, VONQ will minimize risks related to data credibility, inefficient manual processes, and incomplete KPI coverage during the sale process.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Exit Readiness:</w:t>
      </w:r>
      <w:r>
        <w:rPr>
          <w:rFonts w:ascii="Arial" w:hAnsi="Arial"/>
          <w:b w:val="0"/>
          <w:i w:val="0"/>
          <w:color w:val="1D1C1C"/>
          <w:sz w:val="20"/>
        </w:rPr>
        <w:t xml:space="preserve"> The proposed exit reporting suite enables VONQ to meet its near-term sale timeline by delivering investor-grade dashboards and a refreshable data cube, ensuring stakeholders have immediate access to credible financial, commercial, and operational KPIs for decision-making.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Financial Transparency:</w:t>
      </w:r>
      <w:r>
        <w:rPr>
          <w:rFonts w:ascii="Arial" w:hAnsi="Arial"/>
          <w:b w:val="0"/>
          <w:i w:val="0"/>
          <w:color w:val="1D1C1C"/>
          <w:sz w:val="20"/>
        </w:rPr>
        <w:t xml:space="preserve"> By integrating data from Finance, CRM, and ERP systems into the Qlik Warehouse, the solution eliminates data silos and supports a minimum of three years’ trended results. This standardization minimizes manual consolidation efforts, reducing reporting cycle times by up to 40% and improving data accuracy for valuation discussions.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Gains:</w:t>
      </w:r>
      <w:r>
        <w:rPr>
          <w:rFonts w:ascii="Arial" w:hAnsi="Arial"/>
          <w:b w:val="0"/>
          <w:i w:val="0"/>
          <w:color w:val="1D1C1C"/>
          <w:sz w:val="20"/>
        </w:rPr>
        <w:t xml:space="preserve"> Automated data ingestion pipelines and recurring refresh processes replace ad-hoc manual input, streamlining reporting workflows for finance and analytics teams. This is anticipated to decrease manual effort and resource allocation for monthly reporting by up to 50%, freeing staff to focus on higher-value activities tied to the exit process.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Equity Narrative Alignment:</w:t>
      </w:r>
      <w:r>
        <w:rPr>
          <w:rFonts w:ascii="Arial" w:hAnsi="Arial"/>
          <w:b w:val="0"/>
          <w:i w:val="0"/>
          <w:color w:val="1D1C1C"/>
          <w:sz w:val="20"/>
        </w:rPr>
        <w:t xml:space="preserve"> The KPI framework and dashboard mock-ups guide leadership in articulating a compelling equity narrative to acquirers and advisors. By prioritizing metrics that matter, VONQ can demonstrate differentiated commercial and operational performance, supporting a stronger negotiating position during the transaction.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Long-Term Scalability and Asset Creation:</w:t>
      </w:r>
      <w:r>
        <w:rPr>
          <w:rFonts w:ascii="Arial" w:hAnsi="Arial"/>
          <w:b w:val="0"/>
          <w:i w:val="0"/>
          <w:color w:val="1D1C1C"/>
          <w:sz w:val="20"/>
        </w:rPr>
        <w:t xml:space="preserve"> The conceptual data model and tooling recommendations lay the foundation for a reporting architecture that is fully extensible post-transaction. This future-proof approach enables VONQ to integrate additional data sources with minimal disruption and ensures the outputs become lasting business assets that drive ongoing operational excellence.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Risk Mitigation and Credibility:</w:t>
      </w:r>
      <w:r>
        <w:rPr>
          <w:rFonts w:ascii="Arial" w:hAnsi="Arial"/>
          <w:b w:val="0"/>
          <w:i w:val="0"/>
          <w:color w:val="1D1C1C"/>
          <w:sz w:val="20"/>
        </w:rPr>
        <w:t xml:space="preserve"> The solution addresses current data gaps and lack of investor-ready reporting by providing clear remediation priorities and delivery timelines. This reduces reputational risk, enhances transparency with advisors and buyers, and protects against delays that could impact exit value realization.</w:t>
      </w:r>
    </w:p>
    <w:p>
      <w:pPr>
        <w:spacing w:after="80"/>
      </w:pPr>
    </w:p>
    <w:p>
      <w:pPr>
        <w:spacing w:after="160" w:line="276" w:lineRule="auto"/>
      </w:pPr>
      <w:r>
        <w:rPr>
          <w:rFonts w:ascii="Arial" w:hAnsi="Arial"/>
          <w:b w:val="0"/>
          <w:i w:val="0"/>
          <w:color w:val="1D1C1C"/>
          <w:sz w:val="20"/>
        </w:rPr>
        <w:t>By deploying an investor-focused, scalable reporting suite during Phase 1, VONQ will elevate both its operational maturity and strategic credibility in the M&amp;A process. The engagement minimizes transaction risk, delivers tangible ROI through automation and process improvement, and positions VONQ with a lasting data foundation that supports seamless post-exit scalability and competitive differentiation.</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