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software-as-a-service (SaaS) provider, specializing in scalable solutions for the recruitment sector. Operating under a B2B SaaS model, VONQ’s primary business offering is its recruitment platform, which currently supports critical business functions across finance, commercial/CRM, and data/analytics. Key stakeholders for this initiative include the Client Engagement Manager, Paul Goodstadt as the Service Provider Engagement Manager, and Barclays serving as transaction advisors.</w:t>
      </w:r>
    </w:p>
    <w:p>
      <w:pPr>
        <w:spacing w:after="80"/>
      </w:pPr>
    </w:p>
    <w:p>
      <w:pPr>
        <w:spacing w:after="160" w:line="276" w:lineRule="auto"/>
      </w:pPr>
      <w:r>
        <w:rPr>
          <w:rFonts w:ascii="Arial" w:hAnsi="Arial"/>
          <w:b w:val="0"/>
          <w:i w:val="0"/>
          <w:color w:val="1D1C1C"/>
          <w:sz w:val="20"/>
        </w:rPr>
        <w:t>VONQ is presently preparing for a near-term exit and sale process. To support this strategic transaction and its associated investor communications, the company requires a robust exit reporting suite. The current environment relies on Qlik-based reporting and a Qlik Warehouse, supported by several core systems such as Finance, CRM, and ERP platforms. However, gaps exist in terms of investor-grade reporting capabilities, data completeness across legacy and current sources, and alignment with equity narrative requirements. Some source systems do not connect automatically to the Qlik Warehouse, necessitating manual data ingestion, especially for recurring refreshes critical during the transaction period.</w:t>
      </w:r>
    </w:p>
    <w:p>
      <w:pPr>
        <w:spacing w:after="80"/>
      </w:pPr>
    </w:p>
    <w:p>
      <w:pPr>
        <w:spacing w:after="160" w:line="276" w:lineRule="auto"/>
      </w:pPr>
      <w:r>
        <w:rPr>
          <w:rFonts w:ascii="Arial" w:hAnsi="Arial"/>
          <w:b w:val="0"/>
          <w:i w:val="0"/>
          <w:color w:val="1D1C1C"/>
          <w:sz w:val="20"/>
        </w:rPr>
        <w:t>To underpin the M&amp;A process and ensure credible engagement with potential acquirers and advisors, VONQ is seeking to design and build a scalable, repeatable exit reporting solution. This will encompass a refreshable data cube, intuitive dashboards, and supporting documentation, all tailored to deliver transparency and rigor for investor-grade decision-making. The initiative is strategically essential, as the ability to present a validated, investor-ready reporting suite is central to supporting the equity narrative, facilitating a timely and successful transaction, and mitigating both reputational and timeline risks.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the finance, commercial/CRM, data/analytics, and senior leadership teams, particularly as they prepare for transaction-related reporting and investor communications. These teams utilize multiple internal systems, including a Finance System, CRM, ERP, and the Qlik Warehouse, which serves as the primary data platform for both storage and reporting.</w:t>
      </w:r>
    </w:p>
    <w:p>
      <w:pPr>
        <w:spacing w:after="80"/>
      </w:pPr>
    </w:p>
    <w:p>
      <w:pPr>
        <w:spacing w:after="160" w:line="276" w:lineRule="auto"/>
      </w:pPr>
      <w:r>
        <w:rPr>
          <w:rFonts w:ascii="Arial" w:hAnsi="Arial"/>
          <w:b w:val="0"/>
          <w:i w:val="0"/>
          <w:color w:val="1D1C1C"/>
          <w:sz w:val="20"/>
        </w:rPr>
        <w:t>Existing reporting is delivered through Qlik-based dashboards and analytics, leveraging data ingested from the Finance System, CRM, ERP, and Qlik Warehouse. Legacy data sources may be incorporated to provide at least three years of trended performance metrics, and additional Excel-based datasets or external systems may be considered subject to feasibility. Integration challenges persist where certain source systems lack automated connectivity to the Qlik Warehouse, necessitating manual, one-time ingestion and establishing processes for recurring data refresh, especially during the transaction period. Batch processing is currently in place, with the refresh cadence to be finalized as part of the project setup.</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must design and build a scalable exit reporting suite—including a refreshable data cube, dashboards, and documentation—to support the M&amp;A sale process and facilitate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lack of investor-ready reporting, potential data gaps across source systems, and limitations in the existing Qlik Warehouse in supporting all required KPIs for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do not have automated connections into the Qlik Warehouse, necessitating manual data ingestion and establishing recurring refresh processes for sources that need updating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equity narrative definition, a prioritized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to enable data ingestion and refresh pipelines from source systems into the Qlik Warehouse, especially for sources requiring continual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roles include senior leadership, exit advisors (Barclays), and potential acquirers/investors, all of whom require investor-grade visibility into key business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encompass Finance System, CRM, ERP, and legacy sources providing a minimum of three years of trended data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impacting the initiative include exit timeline requirements, stakeholder availability, timely data access provisioning, and concerns regarding the quality and completeness of the existing Qlik Warehouse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that provides clear equity narratives, a prioritised KPI framework, intuitive dashboard mock-ups, a scalable conceptual data model, tooling recommendations, and an implementation roadmap to guide future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data ingestion and recurring refresh pipelines from core source systems—Finance System, CRM, ERP, and legacy sources—ensuring reliable and up-to-date reporting throughout the transaction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investor-grade visibility for leadership, offering insights into key commercial, financial, and operational metrics that support equity narratives and underpin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dashboards that are intuitive, aligned to equity narratives, and provide clear KPI definitions, calculation logic, and structured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processes, refine KPI definition, and advance data infrastructure readiness for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long-term foundation with outputs intended as lasting business assets that are fully automatable post-transaction, ensuring future scalability and extensibility as business requirements evolve.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model and reporting suite are extensible to additional data sources, with ongoing refresh capability and future integration flexibility beyond the current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future platform with key business systems (Finance System, CRM, ERP, and Qlik Warehouse), with options for alternative tooling assessed to optimise scalability and adaptability.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investor-grade equity narratives tailored to VONQ’s transaction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business storylines that underpin the M&amp;A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and presentation slides in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framework of commercial, financial, and operational KPIs aligned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and calculation logic for each KPI, reflecting data source feasibility.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an editable spreadsheet and summary report in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dashboards, including layout, navigation, and KPI placement.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examples of views required for senior leadership, advisors, and potential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and PowerPoint files in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Findings and playback from current-state data review, including identification of data gaps and remediation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source data readiness and recommendations for resolving critical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formal assessment document and playback presentation in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conceptual data model leveraging the Qlik Warehouse as a base, extensible to additional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data lineage mapping, and key integration touchpoints.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diagrams (Visio/PDF) and technical documentation in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Options analysis of candidate data infrastructure and tooling, with clear pros and cons for each scenario.</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Guidance on batch data refresh processes and automated ingestion for in-scope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recommendation report in Week 4.</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detailing use cases, dependencies, risks, and key milestones required for solution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implications for Phase 2, with clear decision points for VONQ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Gantt chart and documented roadmap in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designed to deliver a robust and scalable exit reporting suite, supporting the company's upcoming sale process and underpinning all investor and stakeholder communications. Our methodology is anchored in a business-outcomes-driven approach, emphasizing rapid discovery, collaboration with key stakeholders, and alignment of technical deliverables to support the equity narrative and transaction objectives. We will leverage workshops, iterative playback sessions, and targeted data assessments to ensure all design artefacts are investor-ready and actionable for the next phase.</w:t>
      </w:r>
    </w:p>
    <w:p>
      <w:pPr>
        <w:spacing w:after="80"/>
      </w:pPr>
    </w:p>
    <w:p>
      <w:pPr>
        <w:spacing w:after="160" w:line="276" w:lineRule="auto"/>
      </w:pPr>
      <w:r>
        <w:rPr>
          <w:rFonts w:ascii="Arial" w:hAnsi="Arial"/>
          <w:b w:val="0"/>
          <w:i w:val="0"/>
          <w:color w:val="1D1C1C"/>
          <w:sz w:val="20"/>
        </w:rPr>
        <w:t>Our work will proceed in a structured two-phase model. Phase 1 is a focused, four-week Discovery and Design effort, from 29 June to 24 July 2026, culminating in a comprehensive suite of design artefacts—equity narratives, KPI frameworks, dashboard mock-ups, conceptual data model, tooling recommendations, and an implementation roadmap. Technical development, system integration, and data remediation activities will be explicitly out of scope for this engagement, allowing us to concentrate all efforts on laying a foundation that enables rapid execution in subsequent phases.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29 June –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defines the strategic and technical foundation for VONQ’s exit reporting suite, ensuring all investor and transaction requirements are captured and design artefacts are readied for immediate hand-off to Phase 2.</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stakeholder workshops to define equity narratives, prioritize business KPIs, and establish dashboard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feasibility assessment of Finance, CRM, ERP, and legacy systems, including identification of key data gaps and reconciliation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reflecting agreed metrics, layouts, and navigation logic, aligned with investor expectations and transaction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leveraging the Qlik Warehouse as the core platform, explicitly capturing data lineage, refresh, and integration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tooling recommendations (including alternative options, pros, and cons) and draft an actionable implementation roadmap, detailing dependencies, risks, and milestones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current-state findings, design concepts, and roadmap to stakeholders for validation and refinement.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At the conclusion of Phase 1, VONQ will receive all necessary artefacts required to seamlessly initiate the technical build and implementation of the exit reporting suite in Phase 2. This phased and collaborative approach ensures that all investor-grade requirements are embedded in design, mitigates project risks tied to timeline and data quality, and positions the organization for a timely and well-supported transaction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deliver measurable improvements to VONQ’s exit readiness by establishing a validated, investor-grade reporting suite. By designing clear equity narratives, standardising KPIs, and creating robust dashboard concepts, the initiative will directly support the sale process and underpin transparent stakeholder communications. The resulting infrastructure will enable data-driven decision-making, mitigate transaction risks, and position VONQ for sustained scalability post-exit.</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A comprehensive design for an exit reporting solution, including a prioritised KPI framework and dashboard mock-ups, enabling credible, data-backed presentations to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Identification of Data Gaps:</w:t>
      </w:r>
      <w:r>
        <w:rPr>
          <w:rFonts w:ascii="Arial" w:hAnsi="Arial"/>
          <w:b w:val="0"/>
          <w:i w:val="0"/>
          <w:color w:val="1D1C1C"/>
          <w:sz w:val="20"/>
        </w:rPr>
        <w:t xml:space="preserve"> Detailed analysis and documentation of source data gaps, with remediation priorities to ensure all critical metrics are reliably available for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Standardised KPI Framework:</w:t>
      </w:r>
      <w:r>
        <w:rPr>
          <w:rFonts w:ascii="Arial" w:hAnsi="Arial"/>
          <w:b w:val="0"/>
          <w:i w:val="0"/>
          <w:color w:val="1D1C1C"/>
          <w:sz w:val="20"/>
        </w:rPr>
        <w:t xml:space="preserve"> Alignment of commercial, financial, and operational performance metrics to defined equity narratives, supporting transparent and consistent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Refresh Pipelines:</w:t>
      </w:r>
      <w:r>
        <w:rPr>
          <w:rFonts w:ascii="Arial" w:hAnsi="Arial"/>
          <w:b w:val="0"/>
          <w:i w:val="0"/>
          <w:color w:val="1D1C1C"/>
          <w:sz w:val="20"/>
        </w:rPr>
        <w:t xml:space="preserve"> Design of scalable refresh processes for Finance, CRM, ERP, and legacy systems, ensuring the reporting suite remains current throughout the transaction and beyond.</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Improved visibility and reliability of business metrics, reducing reputational risks and strengthening VONQ’s position for negotiations and advisor discussions.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Transactions:</w:t>
      </w:r>
      <w:r>
        <w:rPr>
          <w:rFonts w:ascii="Arial" w:hAnsi="Arial"/>
          <w:b w:val="0"/>
          <w:i w:val="0"/>
          <w:color w:val="1D1C1C"/>
          <w:sz w:val="20"/>
        </w:rPr>
        <w:t xml:space="preserve"> Delivery of technical design and recommendations that allow for ongoing extensibility, ensuring the reporting infrastructure can adapt to new data sources and evolving business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delivery of a validated exit reporting suite, including equity narratives, prioritised KPI frameworks, dashboard mock-ups, and data model designs, will expedite VONQ’s ability to present investor-ready insights. This translates to a reduction in transaction preparation time and minimises the risk of exit delays, supporting completion within the 4-week Phase 1 timeline.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Automating data ingestion and recurring refresh pipelines from Finance, CRM, and ERP systems into the Qlik Warehouse will streamline reporting workflows for finance, commercial, and analytics teams. By replacing fragmented manual reporting with refreshable processes, VONQ can expect improved data accuracy and reduced manual effort during transaction prep and investor communications.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Data-Driven Decision-Making:</w:t>
      </w:r>
      <w:r>
        <w:rPr>
          <w:rFonts w:ascii="Arial" w:hAnsi="Arial"/>
          <w:b w:val="0"/>
          <w:i w:val="0"/>
          <w:color w:val="1D1C1C"/>
          <w:sz w:val="20"/>
        </w:rPr>
        <w:t xml:space="preserve"> A robust, investor-aligned KPI framework and dashboard suite will empower senior leadership and advisors to gain granular visibility into commercial, financial, and operational performance. This supports transparent equity narratives and enables informed strategic decisions throughout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Mitigation of Transaction and Reputational Risk:</w:t>
      </w:r>
      <w:r>
        <w:rPr>
          <w:rFonts w:ascii="Arial" w:hAnsi="Arial"/>
          <w:b w:val="0"/>
          <w:i w:val="0"/>
          <w:color w:val="1D1C1C"/>
          <w:sz w:val="20"/>
        </w:rPr>
        <w:t xml:space="preserve"> Addressing data gaps and developing remediation priorities will reduce the risk of presenting incomplete or non-credible equity narratives to acquirers. This strengthens stakeholder trust—including advisors (Barclays) and potential buyers—and decreases exposure to reputational risk.</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Strategic Asset Creation:</w:t>
      </w:r>
      <w:r>
        <w:rPr>
          <w:rFonts w:ascii="Arial" w:hAnsi="Arial"/>
          <w:b w:val="0"/>
          <w:i w:val="0"/>
          <w:color w:val="1D1C1C"/>
          <w:sz w:val="20"/>
        </w:rPr>
        <w:t xml:space="preserve"> Design outputs—including the conceptual data model and implementation roadmap—will become lasting business assets. The reporting infrastructure is purpose-built for post-transaction scalability, enabling future integration of additional data sources and continued automation, supporting VONQ’s long-term growth objectives.</w:t>
      </w:r>
    </w:p>
    <w:p>
      <w:pPr>
        <w:spacing w:after="80"/>
      </w:pPr>
    </w:p>
    <w:p>
      <w:pPr>
        <w:spacing w:after="160" w:line="276" w:lineRule="auto"/>
      </w:pPr>
      <w:r>
        <w:rPr>
          <w:rFonts w:ascii="Arial" w:hAnsi="Arial"/>
          <w:b w:val="0"/>
          <w:i w:val="0"/>
          <w:color w:val="1D1C1C"/>
          <w:sz w:val="20"/>
        </w:rPr>
        <w:t>By delivering a comprehensive and scalable exit reporting solution, this engagement positions VONQ for a successful M&amp;A process, competitive differentiation, and sustained business growth. The initiative not only addresses immediate sale requirements—but also establishes a foundation for ongoing operational excellence and strategic value creation.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