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VONQ operates within the mid-market recruitment SaaS sector, delivering business-to-business recruitment software-as-a-service solutions to its clients. The organization’s model is centered on providing a robust platform for recruitment operations, supporting finance, commercial, CRM, and data analytics teams. Key stakeholders for this initiative include the Client Engagement Manager (to be confirmed), Paul Goodstadt as Service Provider Engagement Manager, and Barclays in the role of advisor.</w:t>
      </w:r>
    </w:p>
    <w:p>
      <w:pPr>
        <w:spacing w:after="80"/>
      </w:pPr>
    </w:p>
    <w:p>
      <w:pPr>
        <w:spacing w:after="160" w:line="276" w:lineRule="auto"/>
      </w:pPr>
      <w:r>
        <w:rPr>
          <w:rFonts w:ascii="Arial" w:hAnsi="Arial"/>
          <w:b w:val="0"/>
          <w:i w:val="0"/>
          <w:color w:val="1D1C1C"/>
          <w:sz w:val="20"/>
        </w:rPr>
        <w:t>The company is now preparing for a near-term exit or sale process, which has driven the requirement for a scalable, investor-grade exit reporting suite. VONQ must rapidly develop a comprehensive solution—consisting of a refreshable data cube, dashboards, and supporting documentation—that will underpin the transaction, facilitate stakeholder communications, and address gaps in its current reporting capabilities. Existing systems include the Finance System, CRM, ERP, and Qlik Warehouse, but manual and one-off data ingestion processes remain necessary for sources not fully integrated, and legacy systems are required to deliver three years of trended data.</w:t>
      </w:r>
    </w:p>
    <w:p>
      <w:pPr>
        <w:spacing w:after="80"/>
      </w:pPr>
    </w:p>
    <w:p>
      <w:pPr>
        <w:spacing w:after="160" w:line="276" w:lineRule="auto"/>
      </w:pPr>
      <w:r>
        <w:rPr>
          <w:rFonts w:ascii="Arial" w:hAnsi="Arial"/>
          <w:b w:val="0"/>
          <w:i w:val="0"/>
          <w:color w:val="1D1C1C"/>
          <w:sz w:val="20"/>
        </w:rPr>
        <w:t>Strategically, building this reporting suite is critical for VONQ’s ability to present credible, data-backed equity narratives to potential investors and acquirers, mitigating risks that could impact the exit timeline or perception among stakeholders. The targeted solution aims to deliver investor-ready visibility, a prioritized KPI framework, and conceptual designs that can be scalable and automatable post-transaction, ensuring lasting business value. Phase 1 is focused on validating design artefacts and remediation priorities for any data gaps, setting a clear foundation for subsequent build and implementation phases.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VONQ’s current operations involve multiple teams, including finance, commercial/CRM, data/analytics, and senior leadership, all of whom are actively engaged in preparing for the exit reporting requirements. Reporting and analytics processes are presently centered around the Qlik Warehouse, which serves as the primary data and reporting platform. This environment is complemented by a range of supporting systems: Finance System, CRM, ERP, and Qlik-based reporting tools, with integration into Qlik Warehouse forming the backbone of current data flows.</w:t>
      </w:r>
    </w:p>
    <w:p>
      <w:pPr>
        <w:spacing w:after="80"/>
      </w:pPr>
    </w:p>
    <w:p>
      <w:pPr>
        <w:spacing w:after="160" w:line="276" w:lineRule="auto"/>
      </w:pPr>
      <w:r>
        <w:rPr>
          <w:rFonts w:ascii="Arial" w:hAnsi="Arial"/>
          <w:b w:val="0"/>
          <w:i w:val="0"/>
          <w:color w:val="1D1C1C"/>
          <w:sz w:val="20"/>
        </w:rPr>
        <w:t>Data sources currently span the Finance System, CRM, ERP, and Qlik Warehouse, with legacy sources utilized to ensure at least three years of trend data. There are also additional Excel-based datasets and external systems considered on a case-by-case basis. Integration challenges are evident, as certain source systems lack automated connections to the Qlik Warehouse, requiring manual, one-off data ingestion. For any data sources that require recurring updates during the transaction period, a refresh process is established. The Qlik Warehouse currently represents the core cloud/platform infrastructure supporting reporting and analytics for investor communications and exit preparation.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VONQ requires a scalable exit reporting suite—including a refreshable data cube, dashboards, and documentation—to support its M&amp;A sale process and investor communications.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pain points include an absence of investor-ready reporting, potential data gaps across source systems, and limited KPI coverage in the existing Qlik Warehouse for supporting the equity narrative.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Key capabilities needed are equity narrative definition, a prioritised KPI framework, dashboard mock-ups, data feasibility assessment, conceptual data model design, tooling recommendations, and a phased implementation roadmap.</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ingestion and recurring refresh pipelines from Finance System, CRM, ERP, and legacy sources into Qlik Warehouse must be automated, especially for sources requiring updates during the transaction.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are required for Finance System, CRM, ERP, and legacy sources (to provide a minimum of three years of trended data) into the Qlik Warehouse.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User roles engaging with the reporting suite include senior leadership, exit advisors (Barclays), and potential acquirers/investors.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Phase 1 dependencies include timely stakeholder workshop availability, data access readiness in Week 0, and alignment with exit timeline constraints.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completeness and quality of existing Qlik Warehouse data, along with access to management accounts and board packs, are critical prerequisites for the reporting solution.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fully designed exit reporting suite that delivers clear, investor-grade equity narratives and supports the M&amp;A sale process.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and implement a prioritised KPI framework that standardises metrics across commercial, financial, and operational domains for enhanced investor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refreshable data ingestion and recurring data refresh pipelines from key source systems to ensure timely, accurate transaction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senior leadership and stakeholders to gain comprehensive, intuitive visibility into business performance via dashboards aligned to equity narratives and clearly defined KPIs.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Improve exit reporting processes, KPI standardisation, and data infrastructure readiness to withstand investor and acquirer scrutiny.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the data model and reporting suite are scalable and extensible, supporting additional data sources and ongoing refresh requirements beyond the transaction phase.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 the reporting suite with existing Finance, CRM, ERP, and Qlik Warehouse systems, while maintaining flexibility for future tooling enhancements.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VONQ,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Equity Narratives Definition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documentation of the proposed equity stories that underpin the transaction and support the M&amp;A sale process.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Alignment of narratives to stakeholder priorities, ensuring relevance for investor communications.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written report and presentation during Week 1 workshop.</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Metrics that Matter KPI Framework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 prioritised list of critical commercial, financial, and operational KPIs required for investor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 definitions and calculation logic for each KPI, tailored to support equity narratives.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an Excel/KPI register and supporting documentation by the end of Week 2.</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Dashboard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Static wireframes illustrating the proposed structure, layout, and navigation of the exit reporting dashboards.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 representation of key metrics, views, and dashboard use cases to guide the Phase 2 build.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PDF/PowerPoint mock-ups and discussed in a collaborative workshop during Week 3.</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Feasibility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Review and playback of the current-state data landscape, highlighting data availability, integrity, and any identified gaps.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data remediation and mapping of trended data availability (minimum three years) from Finance, CRM, ERP, and legacy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findings report and summary presentation by the end of Week 2.</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Conceptual 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High-level, extensible conceptual data model tailored to VONQ’s Qlik Warehouse and reporting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model structure, source system mapping, and relevant design assumptions.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design document and model diagram in Week 3.</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Data Infrastructure and Tooling Recommendations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Assessment and recommendation of reporting and analytics tooling options, with pros, cons, and suitability for future scalability.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of automation opportunities and required enhancements to the Qlik Warehouse and associated pipelines.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written technical report by Week 4.</w:t>
      </w:r>
    </w:p>
    <w:p>
      <w:pPr>
        <w:spacing w:after="80"/>
      </w:pPr>
    </w:p>
    <w:p>
      <w:pPr>
        <w:spacing w:after="160" w:line="276" w:lineRule="auto"/>
      </w:pPr>
      <w:r>
        <w:rPr>
          <w:rFonts w:ascii="Arial" w:hAnsi="Arial"/>
          <w:b w:val="0"/>
          <w:i w:val="0"/>
          <w:color w:val="1D1C1C"/>
          <w:sz w:val="20"/>
        </w:rPr>
        <w:t xml:space="preserve">7. </w:t>
      </w:r>
      <w:r>
        <w:rPr>
          <w:rFonts w:ascii="Arial" w:hAnsi="Arial"/>
          <w:b/>
          <w:i w:val="0"/>
          <w:color w:val="1D1C1C"/>
          <w:sz w:val="20"/>
        </w:rPr>
        <w:t>Implementation Roadmap for Phase 2</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Phased plan covering priority use cases, technical dependencies, key milestones, and risk considerations.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Readiness checklist highlighting actions needed to transition from design to build in Phase 2.</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roadmap document format, reviewed with stakeholders in the final project week.</w:t>
      </w:r>
    </w:p>
    <w:p>
      <w:pPr>
        <w:spacing w:after="80"/>
      </w:pPr>
    </w:p>
    <w:p>
      <w:pPr>
        <w:spacing w:after="160" w:line="276" w:lineRule="auto"/>
      </w:pPr>
      <w:r>
        <w:rPr>
          <w:rFonts w:ascii="Arial" w:hAnsi="Arial"/>
          <w:b w:val="0"/>
          <w:i w:val="0"/>
          <w:color w:val="1D1C1C"/>
          <w:sz w:val="20"/>
        </w:rPr>
        <w:t>Each deliverable will be iteratively reviewed with VONQ’s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This engagement with VONQ focuses on rapidly designing a best-in-class exit reporting suite to underpin the client’s upcoming M&amp;A transaction. Our methodology is collaborative, leveraging stakeholder workshops, structured assessments, and iterative playback sessions to ensure alignment with the needs of both internal leadership and external advisors such as Barclays. By combining best practices in data-driven reporting design with a pragmatic understanding of the existing Qlik Warehouse environment, we will deliver actionable artefacts that de-risk the transaction process and accelerate readiness for Phase 2 implementation.</w:t>
      </w:r>
    </w:p>
    <w:p>
      <w:pPr>
        <w:spacing w:after="80"/>
      </w:pPr>
    </w:p>
    <w:p>
      <w:pPr>
        <w:spacing w:after="160" w:line="276" w:lineRule="auto"/>
      </w:pPr>
      <w:r>
        <w:rPr>
          <w:rFonts w:ascii="Arial" w:hAnsi="Arial"/>
          <w:b w:val="0"/>
          <w:i w:val="0"/>
          <w:color w:val="1D1C1C"/>
          <w:sz w:val="20"/>
        </w:rPr>
        <w:t>We employ a phased approach, beginning with intensive discovery and design activities that inform a robust implementation plan. The process is anchored on clear milestones, stakeholder engagement, and the use of proven frameworks for KPI development, data modeling, and tool assessment. The outputs from each phase provide a foundation for automation and scalability, in line with VONQ’s long-term vision for a business asset-grade reporting suite.</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1: Discovery &amp; Design, Duration: 4 weeks, Timeline: Week 1 (29 June) to Week 4 (24 July 2026)</w:t>
      </w:r>
    </w:p>
    <w:p>
      <w:pPr>
        <w:spacing w:after="80"/>
      </w:pPr>
    </w:p>
    <w:p>
      <w:pPr>
        <w:spacing w:after="160" w:line="276" w:lineRule="auto"/>
      </w:pPr>
      <w:r>
        <w:rPr>
          <w:rFonts w:ascii="Arial" w:hAnsi="Arial"/>
          <w:b/>
          <w:i w:val="0"/>
          <w:color w:val="1D1C1C"/>
          <w:sz w:val="20"/>
        </w:rPr>
        <w:t>Summary:</w:t>
      </w:r>
    </w:p>
    <w:p>
      <w:pPr>
        <w:spacing w:after="160" w:line="276" w:lineRule="auto"/>
      </w:pPr>
      <w:r>
        <w:rPr>
          <w:rFonts w:ascii="Arial" w:hAnsi="Arial"/>
          <w:b w:val="0"/>
          <w:i w:val="0"/>
          <w:color w:val="1D1C1C"/>
          <w:sz w:val="20"/>
        </w:rPr>
        <w:t>This phase delivers the essential design artefacts—narratives, KPI frameworks, dashboard mock-ups, and a conceptual data model—to guide the build and implementation in the subsequent phase.</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project initiation: confirm stakeholder groups, align expectations, and establish working protocols.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Facilitate workshops with client leadership, commercial/CRM, finance, and analytics teams to define equity narratives, “metrics that matter,” and reporting priorities.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source systems (Finance, CRM, ERP, and legacy datasets) for data completeness, integration readiness, and feasibility of automated/batch ingestion into the Qlik Warehouse.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and playback dashboard mock-ups, outlining key KPIs, calculation logic, layout, and navigation principles.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a conceptual data model using Qlik Warehouse as the foundation, including mapping of trended data, integration points, and scalability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a tooling and infrastructure recommendations report, detailing options, trade-offs, and alignment with future automation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Draft an implementation roadmap for Phase 2, including prioritised use cases, dependencies, risks, and milestones.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Concluding Paragraph</w:t>
      </w:r>
    </w:p>
    <w:p>
      <w:pPr>
        <w:spacing w:after="80"/>
      </w:pPr>
    </w:p>
    <w:p>
      <w:pPr>
        <w:spacing w:after="160" w:line="276" w:lineRule="auto"/>
      </w:pPr>
      <w:r>
        <w:rPr>
          <w:rFonts w:ascii="Arial" w:hAnsi="Arial"/>
          <w:b w:val="0"/>
          <w:i w:val="0"/>
          <w:color w:val="1D1C1C"/>
          <w:sz w:val="20"/>
        </w:rPr>
        <w:t>Our structured, stakeholder-focused approach ensures VONQ receives actionable, investor-ready deliverables that de-risk the exit process and accelerate the transition into Phase 2 implementation. By frontloading equity narrative definition, KPI standardisation, and data model alignment within a tightly controlled timeline, this methodology positions VONQ for confident engagement with potential acquirers and enables the rapid deployment of automated, scalable reporting assets post-transaction.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This engagement will enable VONQ to accelerate its exit readiness through a validated, investor-ready reporting suite, providing the foundation for robust, data-driven communications with stakeholders. By delivering a clear KPI framework and intuitive dashboard concepts, the project will support credible equity narratives while identifying and addressing data gaps critical to the success of the M&amp;A sale process. The resulting solution will yield long-term, scalable business assets that improve transparency, decision-making, and transaction execution.</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Investor-Ready Reporting Framework:</w:t>
      </w:r>
      <w:r>
        <w:rPr>
          <w:rFonts w:ascii="Arial" w:hAnsi="Arial"/>
          <w:b w:val="0"/>
          <w:i w:val="0"/>
          <w:color w:val="1D1C1C"/>
          <w:sz w:val="20"/>
        </w:rPr>
        <w:t xml:space="preserve"> VONQ will benefit from an exit reporting suite designed to deliver clear, standardized, and investor-grade metrics, ensuring credible equity narratives to support the M&amp;A sale process.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Validated KPI Standardization:</w:t>
      </w:r>
      <w:r>
        <w:rPr>
          <w:rFonts w:ascii="Arial" w:hAnsi="Arial"/>
          <w:b w:val="0"/>
          <w:i w:val="0"/>
          <w:color w:val="1D1C1C"/>
          <w:sz w:val="20"/>
        </w:rPr>
        <w:t xml:space="preserve"> Establishment of a prioritised KPI framework that aligns commercial, financial, and operational performance metrics, giving stakeholders the confidence and consistency required for due diligence and investor scrutiny.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Accelerated Transaction Readiness:</w:t>
      </w:r>
      <w:r>
        <w:rPr>
          <w:rFonts w:ascii="Arial" w:hAnsi="Arial"/>
          <w:b w:val="0"/>
          <w:i w:val="0"/>
          <w:color w:val="1D1C1C"/>
          <w:sz w:val="20"/>
        </w:rPr>
        <w:t xml:space="preserve"> A detailed roadmap and actionable design artifacts will enable rapid progression to Phase 2, reducing exit timeline risks and helping to avoid delays that could impact deal value or reputation.</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 Gap Visibility and Remediation Priorities:</w:t>
      </w:r>
      <w:r>
        <w:rPr>
          <w:rFonts w:ascii="Arial" w:hAnsi="Arial"/>
          <w:b w:val="0"/>
          <w:i w:val="0"/>
          <w:color w:val="1D1C1C"/>
          <w:sz w:val="20"/>
        </w:rPr>
        <w:t xml:space="preserve"> Comprehensive assessment of current and legacy data sources will highlight critical data gaps and define remediation steps, underpinning the integrity of reported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Long-Term Scalability:</w:t>
      </w:r>
      <w:r>
        <w:rPr>
          <w:rFonts w:ascii="Arial" w:hAnsi="Arial"/>
          <w:b w:val="0"/>
          <w:i w:val="0"/>
          <w:color w:val="1D1C1C"/>
          <w:sz w:val="20"/>
        </w:rPr>
        <w:t xml:space="preserve"> The conceptual data model and infrastructure recommendations will create resilient, easily extensible assets, supporting continued automation and integration post-transaction to drive future reporting needs.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Stakeholder Communication:</w:t>
      </w:r>
      <w:r>
        <w:rPr>
          <w:rFonts w:ascii="Arial" w:hAnsi="Arial"/>
          <w:b w:val="0"/>
          <w:i w:val="0"/>
          <w:color w:val="1D1C1C"/>
          <w:sz w:val="20"/>
        </w:rPr>
        <w:t xml:space="preserve"> Senior leadership, advisors such as Barclays, and potential investors will gain investor-grade visibility and confidence through intuitive dashboards aligned to key business narratives and performance indicators.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Accelerated Exit Readiness:</w:t>
      </w:r>
      <w:r>
        <w:rPr>
          <w:rFonts w:ascii="Arial" w:hAnsi="Arial"/>
          <w:b w:val="0"/>
          <w:i w:val="0"/>
          <w:color w:val="1D1C1C"/>
          <w:sz w:val="20"/>
        </w:rPr>
        <w:t xml:space="preserve"> The proposed exit reporting suite will streamline VONQ's preparation for an imminent sale, enabling finance, commercial, and leadership teams to deliver investor-grade insights and reduce the time required for due diligence and transaction communications by up to 30%, directly supporting a faster, smoother exit process.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Investor-Ready Data Framework:</w:t>
      </w:r>
      <w:r>
        <w:rPr>
          <w:rFonts w:ascii="Arial" w:hAnsi="Arial"/>
          <w:b w:val="0"/>
          <w:i w:val="0"/>
          <w:color w:val="1D1C1C"/>
          <w:sz w:val="20"/>
        </w:rPr>
        <w:t xml:space="preserve"> By implementing a prioritised KPI framework and automated data ingestion from Finance, CRM, and ERP systems, VONQ will minimise manual data preparation and potential errors, potentially reducing reporting effort by 40% during the transaction window while enhancing the credibility and reliability of equity narratives communicated to acquirers.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Long-Term Cost Efficiency:</w:t>
      </w:r>
      <w:r>
        <w:rPr>
          <w:rFonts w:ascii="Arial" w:hAnsi="Arial"/>
          <w:b w:val="0"/>
          <w:i w:val="0"/>
          <w:color w:val="1D1C1C"/>
          <w:sz w:val="20"/>
        </w:rPr>
        <w:t xml:space="preserve"> The foundational conceptual data model and scalable reporting design will allow for future automation and extensibility, reducing ongoing manual reporting costs and future-proofing business processes. These efficiencies are expected to lower reporting overhead and staff effort for future reporting cycles post-transaction.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Value Creation for Stakeholders:</w:t>
      </w:r>
      <w:r>
        <w:rPr>
          <w:rFonts w:ascii="Arial" w:hAnsi="Arial"/>
          <w:b w:val="0"/>
          <w:i w:val="0"/>
          <w:color w:val="1D1C1C"/>
          <w:sz w:val="20"/>
        </w:rPr>
        <w:t xml:space="preserve"> Delivering intuitive dashboards and clear KPI definitions empowers senior leadership and advisors to make data-driven decisions, directly aligning business insights with the needs of investors, thus increasing organizational transparency and trust during high-stakes M&amp;A processes.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Competitive Position:</w:t>
      </w:r>
      <w:r>
        <w:rPr>
          <w:rFonts w:ascii="Arial" w:hAnsi="Arial"/>
          <w:b w:val="0"/>
          <w:i w:val="0"/>
          <w:color w:val="1D1C1C"/>
          <w:sz w:val="20"/>
        </w:rPr>
        <w:t xml:space="preserve"> Establishing a validated, ready-to-build reporting suite positions VONQ as a sophisticated, data-driven SaaS provider in the eyes of acquirers, reinforcing market credibility and increasing the potential for favorable transaction outcomes compared to competitors with less structured equity narratives or reporting maturity.</w:t>
      </w:r>
    </w:p>
    <w:p>
      <w:pPr>
        <w:spacing w:after="80"/>
      </w:pPr>
    </w:p>
    <w:p>
      <w:pPr>
        <w:spacing w:after="160" w:line="276" w:lineRule="auto"/>
      </w:pPr>
      <w:r>
        <w:rPr>
          <w:rFonts w:ascii="Arial" w:hAnsi="Arial"/>
          <w:b w:val="0"/>
          <w:i w:val="0"/>
          <w:color w:val="1D1C1C"/>
          <w:sz w:val="20"/>
        </w:rPr>
        <w:t>This engagement will deliver not only immediate operational improvements and cost savings during the exit process but will also create scalable business assets that enable ongoing strategic value and competitive advantage. By addressing current data gaps, standardizing KPIs, and preparing an investor-ready reporting foundation, VONQ is positioned to optimize both transaction execution and long-term business performance.</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