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VONQ operates within the mid-market recruitment SaaS sector, offering a business-to-business software platform tailored for recruitment workflows. As a provider of recruitment software-as-a-service, VONQ serves key stakeholders including a Client Engagement Manager, Paul Goodstadt as Service Provider Engagement Manager, and Barclays in the role of client advisors. The company relies on integrated systems such as Finance, CRM, ERP, and a Qlik Warehouse to manage financial and operational data, with the Qlik Warehouse functioning as the primary data platform for reporting and analytics.</w:t>
      </w:r>
    </w:p>
    <w:p>
      <w:pPr>
        <w:spacing w:after="80"/>
      </w:pPr>
    </w:p>
    <w:p>
      <w:pPr>
        <w:spacing w:after="160" w:line="276" w:lineRule="auto"/>
      </w:pPr>
      <w:r>
        <w:rPr>
          <w:rFonts w:ascii="Arial" w:hAnsi="Arial"/>
          <w:b w:val="0"/>
          <w:i w:val="0"/>
          <w:color w:val="1D1C1C"/>
          <w:sz w:val="20"/>
        </w:rPr>
        <w:t>The driving force behind this initiative is VONQ’s imminent exit and sale process. To support this major transaction, VONQ requires a scalable exit reporting suite comprised of a refreshable data cube, investor-ready dashboards, and comprehensive supporting documentation. Current pain points include gaps in investor-grade reporting, inconsistencies across data sources, and limitations within the existing Qlik Warehouse in supporting all KPIs necessary for an equity narrative. The solution must address these challenges by automating data ingestion pipelines and ensuring that dashboards and data models are aligned with future scalability needs.</w:t>
      </w:r>
    </w:p>
    <w:p>
      <w:pPr>
        <w:spacing w:after="80"/>
      </w:pPr>
    </w:p>
    <w:p>
      <w:pPr>
        <w:spacing w:after="160" w:line="276" w:lineRule="auto"/>
      </w:pPr>
      <w:r>
        <w:rPr>
          <w:rFonts w:ascii="Arial" w:hAnsi="Arial"/>
          <w:b w:val="0"/>
          <w:i w:val="0"/>
          <w:color w:val="1D1C1C"/>
          <w:sz w:val="20"/>
        </w:rPr>
        <w:t>This initiative is strategically critical, as the outputs will form the backbone of stakeholder communications and underpin the equity narrative required for due diligence and investor review. Failure to address the current gaps risks undermining VONQ’s credibility with acquirers, delaying the exit timeline, and eroding stakeholder confidence. The future-state design aims not only to facilitate the immediate transaction but also to establish lasting assets that will enhance the company’s reporting and data infrastructure post-sale, ensuring readiness for ongoing investor scrutiny and future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VONQ’s current operations involve several interdependent teams and processes as part of its exit preparation and investor reporting. The finance, commercial/CRM, data/analytics, and senior leadership teams are actively engaged, with responsibilities spanning across data aggregation, financial analysis, and stakeholder communication related to the transaction process.</w:t>
      </w:r>
    </w:p>
    <w:p>
      <w:pPr>
        <w:spacing w:after="80"/>
      </w:pPr>
    </w:p>
    <w:p>
      <w:pPr>
        <w:spacing w:after="160" w:line="276" w:lineRule="auto"/>
      </w:pPr>
      <w:r>
        <w:rPr>
          <w:rFonts w:ascii="Arial" w:hAnsi="Arial"/>
          <w:b w:val="0"/>
          <w:i w:val="0"/>
          <w:color w:val="1D1C1C"/>
          <w:sz w:val="20"/>
        </w:rPr>
        <w:t>The organization utilizes a combination of systems and platforms, including a Finance System, CRM platform, ERP system, and the Qlik Warehouse, which serves as the primary data and reporting platform. Reporting and analytics are currently conducted using Qlik-based tools leveraging data stored within the Qlik Warehouse. The enterprise data landscape includes structured information from the Finance System, CRM, and ERP, supplemented by Excel-based datasets and, where feasible, additional external systems. There is a reliance on legacy sources to provide at least three years of trended performance data.</w:t>
      </w:r>
    </w:p>
    <w:p>
      <w:pPr>
        <w:spacing w:after="80"/>
      </w:pPr>
    </w:p>
    <w:p>
      <w:pPr>
        <w:spacing w:after="160" w:line="276" w:lineRule="auto"/>
      </w:pPr>
      <w:r>
        <w:rPr>
          <w:rFonts w:ascii="Arial" w:hAnsi="Arial"/>
          <w:b w:val="0"/>
          <w:i w:val="0"/>
          <w:color w:val="1D1C1C"/>
          <w:sz w:val="20"/>
        </w:rPr>
        <w:t>Integration challenges exist due to some source systems lacking automated connections to the Qlik Warehouse, necessitating manual, one-off data ingestion for these platforms. For sources that require ongoing updates during the transaction, a recurring data refresh process is planned to be established. The cloud infrastructure centers on the Qlik Warehouse, which integrates multiple business systems, although automation and integration completeness vary depending on the capabilities of each source system.</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VONQ needs a scalable exit reporting suite—including a refreshable data cube, dashboards, and supporting documentation—to effectively support its M&amp;A sale process and ensure robust investor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is not investor-ready, with potential data gaps across source systems and limitations in the existing Qlik Warehouse’s ability to support all required KPIs for the equity narrative.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Some source systems lack automated connections to the Qlik Warehouse, requiring manual or one-off data ingestion, especially for legacy data or external datasets, which increases the risk of inconsistencies and delayed updates.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exit reporting solution must provide a prioritised KPI framework, precise equity narrative definition, data feasibility assessment, conceptual data model design, dashboard mock-ups, and robust tooling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recurring refresh pipelines are required for all key source systems (Finance System, CRM, ERP), particularly for near-real-time or batch updates needed during the transaction window.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Essential integrations include Finance System, CRM, and ERP into the Qlik Warehouse, as well as incorporation of legacy data sources to cover at least three years of historical trends.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suite must be designed for use by senior leadership, exit advisors (Barclays), and potential acquirers/investors, ensuring each user role has tailored access and insights relevant to the M&amp;A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Exit timeline constraints, stakeholder availability, and the quality of existing data—especially in the Qlik Warehouse—create dependencies that can impact project delivery and readiness for investor scrutiny.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fully designed exit reporting suite that delivers clear equity narratives and a prioritized KPI framework to guide investor communications and support the sale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and recurring refresh pipelines from core source systems to ensure timely and reliable transaction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leadership to access investor-grade visibility into key business metrics that substantiate the equity narrative and underpin exit readiness.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intuitive dashboards featuring clear KPI definitions, calculation logic, and user-friendly navigation, enhancing stakeholder confidence and usability.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Standardize exit reporting processes and prepare data infrastructure to meet investor scrutiny and transaction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the solution functions as a lasting business asset, with technology choices supporting ongoing automation and scalability post-transaction.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data model and reporting suite for extensibility, allowing integration with additional data sources and consistent refresh capability beyond the exit event.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the platform with Finance System, CRM, ERP, and Qlik Warehouse, with flexibility for future tooling options subject to feasibility assessment.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VONQ,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Equity Narratives Definition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articulation of the core equity narratives to support VONQ’s M&amp;A sale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key business themes and value drivers tailored for investor and advisor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Structured Word/PDF report, delivered at the end of Week 1.</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Metrics that Matter KPI Framework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 prioritized framework of commercial, financial, and operational KPIs aligned with equity narratives.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KPI definitions including calculation logic, data sources, and rationale.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Excel workbook and supporting documentation, delivered by the end of Week 2.</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Dashboard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Static visual representations and wireframes illustrating proposed dashboard layouts and user navigation.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mapping of KPIs, filters, and key dashboard views tailored to stakeholder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PDF mock-ups or screenshots, delivered by the end of Week 3.</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Feasibility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Analysis and playback of current-state data coverage, data gaps, and areas requiring remediation.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includes findings from workshops and data sample reviews.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PowerPoint or Word report, delivered by the end of Week 2.</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Conceptual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High-level design model mapping core data entities, relationships, and data flows for the exit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Model anchored to the Qlik Warehouse with consideration for additional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Diagram and technical documentation, delivered by the end of Week 3.</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Data Infrastructure and Tooling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Evaluation of current and potential new toolsets or enhancements to support scalability and automation.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Trade-off analysis for Qlik Warehouse and alternative solutions, with clear pros and cons.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Comparative analysis in a structured report, delivered by the end of Week 4.</w:t>
      </w:r>
    </w:p>
    <w:p>
      <w:pPr>
        <w:spacing w:after="80"/>
      </w:pPr>
    </w:p>
    <w:p>
      <w:pPr>
        <w:spacing w:after="160" w:line="276" w:lineRule="auto"/>
      </w:pPr>
      <w:r>
        <w:rPr>
          <w:rFonts w:ascii="Arial" w:hAnsi="Arial"/>
          <w:b w:val="0"/>
          <w:i w:val="0"/>
          <w:color w:val="1D1C1C"/>
          <w:sz w:val="20"/>
        </w:rPr>
        <w:t xml:space="preserve">7. </w:t>
      </w:r>
      <w:r>
        <w:rPr>
          <w:rFonts w:ascii="Arial" w:hAnsi="Arial"/>
          <w:b/>
          <w:i w:val="0"/>
          <w:color w:val="1D1C1C"/>
          <w:sz w:val="20"/>
        </w:rPr>
        <w:t>Implementation Roadmap for Phase 2</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Phased action plan outlining key milestones, dependencies, risks, and recommended timelines for the Phase 2 build.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Sequencing of priority use cases and data integrations, with clear owners and deliverable dates.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Format: Gantt chart and supporting documentation, delivered by the end of Week 4.</w:t>
      </w:r>
    </w:p>
    <w:p>
      <w:pPr>
        <w:spacing w:after="80"/>
      </w:pPr>
    </w:p>
    <w:p>
      <w:pPr>
        <w:spacing w:after="160" w:line="276" w:lineRule="auto"/>
      </w:pPr>
      <w:r>
        <w:rPr>
          <w:rFonts w:ascii="Arial" w:hAnsi="Arial"/>
          <w:b w:val="0"/>
          <w:i w:val="0"/>
          <w:color w:val="1D1C1C"/>
          <w:sz w:val="20"/>
        </w:rPr>
        <w:t>Each deliverable will be iteratively reviewed with VONQ's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This engagement with VONQ centers on the design and delivery of a scalable exit reporting suite to underpin the upcoming M&amp;A sale process. Our methodology is anchored in a structured Discovery &amp; Design phase leveraging collaborative workshops, iterative stakeholder engagement, and focused review of data capabilities. All activities are tailored to ensure VONQ’s requirements for investor-grade reporting, clear equity narratives, and robust KPI frameworks are met, while accommodating timeline, data quality, and integration constraints.</w:t>
      </w:r>
    </w:p>
    <w:p>
      <w:pPr>
        <w:spacing w:after="80"/>
      </w:pPr>
    </w:p>
    <w:p>
      <w:pPr>
        <w:spacing w:after="160" w:line="276" w:lineRule="auto"/>
      </w:pPr>
      <w:r>
        <w:rPr>
          <w:rFonts w:ascii="Arial" w:hAnsi="Arial"/>
          <w:b w:val="0"/>
          <w:i w:val="0"/>
          <w:color w:val="1D1C1C"/>
          <w:sz w:val="20"/>
        </w:rPr>
        <w:t>The phased approach begins with an intensive four-week Discovery &amp; Design phase. During this period, we will deliver a validated suite of artefacts—including narrative definitions, dashboard mock-ups, KPI frameworks, and a conceptual data model—ensuring all outputs are optimized for investor and advisor scrutiny. The process is supported by a transparent implementation roadmap, establishing clear priorities, dependencies, and sequencing for the subsequent build phase.</w:t>
      </w:r>
    </w:p>
    <w:p>
      <w:pPr>
        <w:spacing w:after="80"/>
      </w:pPr>
    </w:p>
    <w:p>
      <w:pPr>
        <w:spacing w:after="160" w:line="276" w:lineRule="auto"/>
      </w:pPr>
      <w:r>
        <w:rPr>
          <w:rFonts w:ascii="Arial" w:hAnsi="Arial"/>
          <w:b/>
          <w:i w:val="0"/>
          <w:color w:val="1D1C1C"/>
          <w:sz w:val="20"/>
        </w:rPr>
        <w:t>Phase 1: Discovery &amp; Design, Duration: 4 weeks, Timeline: Week 1 (29 June 2026) to Week 4 (24 July 2026)</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will define the equity narrative, develop KPIs, produce dashboard mock-ups, assess data feasibility, and recommend tooling and implementation plans for the exit reporting suite.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kickoff and stakeholder workshops to obtain alignment on equity narratives, key business drivers, and reporting priorities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a comprehensive data feasibility assessment, mapping data sources (Finance System, CRM, ERP, Qlik Warehouse, legacy datasets) and identifying gaps relative to investor-grade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and document the prioritized “Metrics that Matter” KPI framework, including calculation logic, source mapping, and alignment with equity narratives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static dashboard mock-ups illustrating key views, metrics, and navigation structure, tailored for senior leadership, advisors, and acquirers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conceptual data model, starting from existing Qlik Warehouse architecture, with options and trade-off analysis for alternative tooling or integration pathways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Produce a detailed implementation roadmap covering Phase 2 scope, sequencing, dependencies, risks, and milestones to guide the technical build and roll-out</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The phased approach ensures VONQ’s exit reporting suite is designed with rigor, clarity, and scalability from the outset. By focusing on structured workshops, targeted data analysis, and iterative artefact production, we will deliver a comprehensive blueprint—empowering leadership and advisors to confidently communicate equity narratives and business value to potential acquirers, while laying the technical foundation for the subsequent build phase. This approach is specifically calibrated to meet tight deal timelines, maximize stakeholder readiness, and provide sustainable reporting assets for VONQ’s future needs.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with VONQ will deliver a transformative impact by equipping the business with investor-ready reporting and data-driven insights to underpin the upcoming M&amp;A exit process. By designing a scalable exit reporting suite and prioritized KPI framework, VONQ will be positioned to present robust equity narratives, streamline stakeholder communications, and accelerate exit readiness. The success of this initiative will be measured by the creation of actionable Phase 1 design artefacts and the client's ability to confidently progress to Phase 2 within the critical transaction timeline.</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Validated Exit Reporting Suite:</w:t>
      </w:r>
      <w:r>
        <w:rPr>
          <w:rFonts w:ascii="Arial" w:hAnsi="Arial"/>
          <w:b w:val="0"/>
          <w:i w:val="0"/>
          <w:color w:val="1D1C1C"/>
          <w:sz w:val="20"/>
        </w:rPr>
        <w:t xml:space="preserve"> A comprehensive and investor-grade reporting design, including data model, dashboards, and KPI definitions, ready to guide the technical build and support the sale process.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Investor-Ready KPI Framework:</w:t>
      </w:r>
      <w:r>
        <w:rPr>
          <w:rFonts w:ascii="Arial" w:hAnsi="Arial"/>
          <w:b w:val="0"/>
          <w:i w:val="0"/>
          <w:color w:val="1D1C1C"/>
          <w:sz w:val="20"/>
        </w:rPr>
        <w:t xml:space="preserve"> Clear, prioritized commercial, financial, and operational KPIs aligned to equity narratives, enabling leadership to substantiate VONQ’s value proposition for acquirers and advisors.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 Gap Identification and Remediation Priorities:</w:t>
      </w:r>
      <w:r>
        <w:rPr>
          <w:rFonts w:ascii="Arial" w:hAnsi="Arial"/>
          <w:b w:val="0"/>
          <w:i w:val="0"/>
          <w:color w:val="1D1C1C"/>
          <w:sz w:val="20"/>
        </w:rPr>
        <w:t xml:space="preserve"> Transparent playback of current-state findings, highlighting data gaps and actionable remediation steps to ensure compliance with investor reporting standards.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Leadership Insight:</w:t>
      </w:r>
      <w:r>
        <w:rPr>
          <w:rFonts w:ascii="Arial" w:hAnsi="Arial"/>
          <w:b w:val="0"/>
          <w:i w:val="0"/>
          <w:color w:val="1D1C1C"/>
          <w:sz w:val="20"/>
        </w:rPr>
        <w:t xml:space="preserve"> Investor-grade visibility into critical business metrics, empowering senior leadership and advisors with reliable information for decision-making and stakeholder communications.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Readiness:</w:t>
      </w:r>
      <w:r>
        <w:rPr>
          <w:rFonts w:ascii="Arial" w:hAnsi="Arial"/>
          <w:b w:val="0"/>
          <w:i w:val="0"/>
          <w:color w:val="1D1C1C"/>
          <w:sz w:val="20"/>
        </w:rPr>
        <w:t xml:space="preserve"> Automation recommendations for data ingestion and refresh pipelines, mitigating risks of reporting delays and enhancing VONQ’s credibility among advisors and potential buyers.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Infrastructure:</w:t>
      </w:r>
      <w:r>
        <w:rPr>
          <w:rFonts w:ascii="Arial" w:hAnsi="Arial"/>
          <w:b w:val="0"/>
          <w:i w:val="0"/>
          <w:color w:val="1D1C1C"/>
          <w:sz w:val="20"/>
        </w:rPr>
        <w:t xml:space="preserve"> A conceptual data model and tooling recommendations that enable extensibility to additional sources and future automation, establishing lasting assets post-transaction.</w:t>
      </w:r>
    </w:p>
    <w:p>
      <w:pPr>
        <w:spacing w:after="80"/>
      </w:pPr>
    </w:p>
    <w:p>
      <w:pPr>
        <w:spacing w:after="160" w:line="276" w:lineRule="auto"/>
      </w:pPr>
      <w:r>
        <w:rPr>
          <w:rFonts w:ascii="Arial" w:hAnsi="Arial"/>
          <w:b w:val="0"/>
          <w:i w:val="0"/>
          <w:color w:val="1D1C1C"/>
          <w:sz w:val="20"/>
        </w:rPr>
        <w:t>These outcomes will equip VONQ with the tools, reporting clarity, and confidence necessary to present compelling, data-backed narratives to investors, minimize transaction risks, and optimize business value during the exit process.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Accelerated Exit Readiness:</w:t>
      </w:r>
      <w:r>
        <w:rPr>
          <w:rFonts w:ascii="Arial" w:hAnsi="Arial"/>
          <w:b w:val="0"/>
          <w:i w:val="0"/>
          <w:color w:val="1D1C1C"/>
          <w:sz w:val="20"/>
        </w:rPr>
        <w:t xml:space="preserve"> The project enables VONQ to rapidly prepare investor-grade exit reporting, reducing the typical timeline for due diligence and stakeholder communications by up to 50%. This accelerates the M&amp;A process, minimizes transaction delays, and helps maximize deal value.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via Automation:</w:t>
      </w:r>
      <w:r>
        <w:rPr>
          <w:rFonts w:ascii="Arial" w:hAnsi="Arial"/>
          <w:b w:val="0"/>
          <w:i w:val="0"/>
          <w:color w:val="1D1C1C"/>
          <w:sz w:val="20"/>
        </w:rPr>
        <w:t xml:space="preserve"> By designing automated data ingestion and recurring refresh pipelines for Finance, CRM, and ERP systems, manual reporting effort required for transaction readiness can be reduced by an estimated 40-60%. This frees up critical resources across finance and analytics teams during the sale process.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Investor-Centric KPI Framework:</w:t>
      </w:r>
      <w:r>
        <w:rPr>
          <w:rFonts w:ascii="Arial" w:hAnsi="Arial"/>
          <w:b w:val="0"/>
          <w:i w:val="0"/>
          <w:color w:val="1D1C1C"/>
          <w:sz w:val="20"/>
        </w:rPr>
        <w:t xml:space="preserve"> The prioritized KPI framework and dashboard mock-ups directly address investor requirements, allowing VONQ to present consistent, credible equity narratives underpinned by validated, trended data spanning at least three years. This can enhance buyer confidence and materially support enterprise valuation.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Asset Creation:</w:t>
      </w:r>
      <w:r>
        <w:rPr>
          <w:rFonts w:ascii="Arial" w:hAnsi="Arial"/>
          <w:b w:val="0"/>
          <w:i w:val="0"/>
          <w:color w:val="1D1C1C"/>
          <w:sz w:val="20"/>
        </w:rPr>
        <w:t xml:space="preserve"> All Phase 1 design outputs—including the conceptual data model, dashboards, and roadmap—become scalable assets that can be extended post-transaction, supporting future growth, performance monitoring, and ongoing investor relations. This positions VONQ for sustained operational excellence beyond the immediate exit event.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Risk Mitigation and Reputation Protection:</w:t>
      </w:r>
      <w:r>
        <w:rPr>
          <w:rFonts w:ascii="Arial" w:hAnsi="Arial"/>
          <w:b w:val="0"/>
          <w:i w:val="0"/>
          <w:color w:val="1D1C1C"/>
          <w:sz w:val="20"/>
        </w:rPr>
        <w:t xml:space="preserve"> By proactively identifying data gaps and standardizing reporting, VONQ reduces the risk of credibility issues, missed KPIs, and reputational damage with advisors or potential buyers. Early design validation also ensures the exit timeline is not compromised due to reporting or data deficiencies.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Cost Optimization Through Focused Discovery:</w:t>
      </w:r>
      <w:r>
        <w:rPr>
          <w:rFonts w:ascii="Arial" w:hAnsi="Arial"/>
          <w:b w:val="0"/>
          <w:i w:val="0"/>
          <w:color w:val="1D1C1C"/>
          <w:sz w:val="20"/>
        </w:rPr>
        <w:t xml:space="preserve"> The 4-week Phase 1 engagement ensures targeted use of resources, avoiding premature technical development or infrastructure spend. VONQ achieves clarity on priorities and data readiness before committing to Phase 2 investment, optimizing ROI and minimizing unnecessary costs.</w:t>
      </w:r>
    </w:p>
    <w:p>
      <w:pPr>
        <w:spacing w:after="80"/>
      </w:pPr>
    </w:p>
    <w:p>
      <w:pPr>
        <w:spacing w:after="160" w:line="276" w:lineRule="auto"/>
      </w:pPr>
      <w:r>
        <w:rPr>
          <w:rFonts w:ascii="Arial" w:hAnsi="Arial"/>
          <w:b w:val="0"/>
          <w:i w:val="0"/>
          <w:color w:val="1D1C1C"/>
          <w:sz w:val="20"/>
        </w:rPr>
        <w:t>The proposed exit reporting suite and supporting design artefacts will deliver immediate value for VONQ by streamlining operational workflows, improving financial visibility, and providing strategic leverage during the M&amp;A sale process. The initiative establishes a robust foundation for investor communications, enhances VONQ’s competitive positioning, and creates lasting assets that deliver continued value beyond the transaction.</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