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VONQ is a mid-market recruitment software-as-a-service (SaaS) provider operating under a B2B business model. The company’s core offering is a recruitment platform designed to support organizations in managing their hiring processes more effectively. Stakeholders involved in this initiative include the Client Engagement Manager, Paul Goodstadt as Service Provider Engagement Manager, and Barclays acting as the client’s advisors. VONQ relies on several critical business systems, including Finance, CRM, ERP platforms, and the Qlik Warehouse as their primary data management and reporting tool.</w:t>
      </w:r>
    </w:p>
    <w:p>
      <w:pPr>
        <w:spacing w:after="80"/>
      </w:pPr>
    </w:p>
    <w:p>
      <w:pPr>
        <w:spacing w:after="160" w:line="276" w:lineRule="auto"/>
      </w:pPr>
      <w:r>
        <w:rPr>
          <w:rFonts w:ascii="Arial" w:hAnsi="Arial"/>
          <w:b w:val="0"/>
          <w:i w:val="0"/>
          <w:color w:val="1D1C1C"/>
          <w:sz w:val="20"/>
        </w:rPr>
        <w:t>VONQ is preparing for a near-term exit and sale process, driving the urgent need for a scalable, investor-grade exit reporting suite. The organization aims to rapidly design and implement a suite that includes a refreshable data cube, dashboards, and comprehensive supporting documentation. This solution is needed to underpin stakeholder communications and ensure that the business can present credible, data-backed equity narratives to potential acquirers and advisors, providing consistent and clear insights across financial, commercial, and operational performance.</w:t>
      </w:r>
    </w:p>
    <w:p>
      <w:pPr>
        <w:spacing w:after="80"/>
      </w:pPr>
    </w:p>
    <w:p>
      <w:pPr>
        <w:spacing w:after="160" w:line="276" w:lineRule="auto"/>
      </w:pPr>
      <w:r>
        <w:rPr>
          <w:rFonts w:ascii="Arial" w:hAnsi="Arial"/>
          <w:b w:val="0"/>
          <w:i w:val="0"/>
          <w:color w:val="1D1C1C"/>
          <w:sz w:val="20"/>
        </w:rPr>
        <w:t>The current environment presents several challenges, including potential data gaps across existing systems, manual or non-automated integrations, and reporting limitations within the Qlik Warehouse that may not fully address the needs of an investor audience. Addressing these gaps is strategically critical: failure to implement an investor-ready, robust reporting environment could delay the exit timeline and pose reputational risks. The outputs from this engagement—a validated reporting suite design, KPI framework, and roadmap—are intended to become lasting assets that enable VONQ to execute a successful sale process and ensure scalability of data practices post-transaction.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Currently, VONQ’s finance, commercial/CRM, data/analytics, and senior leadership teams are engaged in activities connected to exit preparation and investor reporting. These teams interact with several critical business systems: the company utilizes a Finance System, a CRM, and an ERP to manage core business processes and operational data. The Qlik Warehouse functions as the primary data platform, centralizing reporting and analytics efforts across departments.</w:t>
      </w:r>
    </w:p>
    <w:p>
      <w:pPr>
        <w:spacing w:after="80"/>
      </w:pPr>
    </w:p>
    <w:p>
      <w:pPr>
        <w:spacing w:after="160" w:line="276" w:lineRule="auto"/>
      </w:pPr>
      <w:r>
        <w:rPr>
          <w:rFonts w:ascii="Arial" w:hAnsi="Arial"/>
          <w:b w:val="0"/>
          <w:i w:val="0"/>
          <w:color w:val="1D1C1C"/>
          <w:sz w:val="20"/>
        </w:rPr>
        <w:t>For reporting and analytics, VONQ employs Qlik-based reporting tools and the Qlik Warehouse, which aggregates data from the Finance System, CRM, and ERP. In addition to these core sources, there are Excel-based datasets and legacy data sources that may contribute, depending on feasibility and agreement with stakeholders. Notably, some source systems do not have automated integration into the Qlik Warehouse, necessitating manual one-off data ingestions. Where recurring updates are required, a refresh process is currently established on an as-needed basis. The Qlik Warehouse supports a minimum of three years of trended data from legacy systems, providing historical context for reporting requirements.</w:t>
      </w:r>
    </w:p>
    <w:p>
      <w:pPr>
        <w:spacing w:after="80"/>
      </w:pPr>
    </w:p>
    <w:p>
      <w:pPr>
        <w:spacing w:after="160" w:line="276" w:lineRule="auto"/>
      </w:pPr>
      <w:r>
        <w:rPr>
          <w:rFonts w:ascii="Arial" w:hAnsi="Arial"/>
          <w:b w:val="0"/>
          <w:i w:val="0"/>
          <w:color w:val="1D1C1C"/>
          <w:sz w:val="20"/>
        </w:rPr>
        <w:t>At present, the existing platform infrastructure and integration approach reflect a combination of automated and manual processes, with specific challenges tied to the lack of automated data connections for certain sources. This operational reality informs how data is prepared, curated, and shared across the organization for ongoing reporting and exit readiness activities.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Preparing for a near-term exit/sale requires a scalable exit reporting suite to support the M&amp;A process and investor communications.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is a lack of investor-ready reporting, with gaps across source systems that may impede clear equity narrative development.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existing Qlik Warehouse platform may not fully support all KPIs needed for the equity narrative relevant to the sale.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ingestion from source systems (Finance, CRM, ERP, legacy sources for historical data) is not fully automated, necessitating manual one-off ingestion and recurring refresh processes.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 prioritised KPI framework, equity narrative definition, dashboard mock-ups, feasibility assessment of data sources, conceptual data model design, and tooling recommendations are all required to underpin decision-making for the exit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pipelines are needed to facilitate recurring data refreshes for transaction reporting, minimizing manual intervention.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Senior leadership, exit advisors (e.g., Barclays), and potential acquirers/investors are the primary system users who require investor-grade visibility and clear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include Finance System, CRM, ERP, and legacy sources (for at least three years of trended data) into the Qlik Warehouse.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Timeline constraints exist, with stakeholder availability, data access readiness, and the quality/completeness of Qlik Warehouse data impacting project execution.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fully designed exit reporting suite that provides clear and investor-ready equity narratives, prioritized KPI frameworks, and dashboard mock-ups to underpin the M&amp;A 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automation of data ingestion and refresh processes from core source systems, ensuring timely and recurring updates to support transaction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investor-grade visibility into key business metrics, allowing leadership and stakeholders to make informed decisions and support the company’s equity story.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Standardize KPIs and reporting to improve consistency and data integrity across finance, commercial, and operational functions.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the user experience with intuitive dashboards, well-defined KPI calculation logic, and clear navigation structures aligned with the equity narrative.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the reporting suite and conceptual data model are scalable and extensible for integration with additional data sources and future automation needs beyond the current 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seamlessly with existing core platforms—Finance System, CRM, ERP, and Qlik Warehouse—while providing flexibility for future tooling assessment and expansion.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VONQ,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Equity Narratives Definition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articulation of the equity narratives required for the exit and M&amp;A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Alignment of narratives with stakeholder expectations and investor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Definition of narrative themes to be addressed in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a structured document; reviewed and validated in Week 1</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Metrics that Matter KPI Framework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Prioritised list of KPIs aligned to commercial, financial, and operational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KPI calculation logic and definitions suitable for investor-grade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Inclusion of metrics required for equity narrative support and reporting consistency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Framework and supporting documentation delivered by the end of Week 1</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Dashboard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Static wireframes illustrating proposed dashboard layouts, navigation, and core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Visualization of user flow and key reporting views for current- and future-state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Mock-ups designed to guide Phase 2 dashboard development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slideware or PDF assets during Week 2</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Feasibility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Playback of current-state findings, including source system coverage and data availability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and documentation of data gaps and remediation priorities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Assessment of feasibility for integrating legacy sources to meet three-year trended data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Findings presented as a structured report at the close of Week 2</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Conceptual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High-level data model encompassing Finance, CRM, ERP, and additional/legacy sources where required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Mapping of key entities, relationships, and data flow for the proposed reporting suite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batch data ingestion and refresh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Visualization and supporting documentation delivered in Week 3</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Data Infrastructure and Tooling Recommendations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on tools and infrastructure for reporting, integrating, and scaling the solution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Comparative analysis of Qlik Warehouse and alternative tooling options, including pros and cons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Alignment with future automation and scalability objectives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recommendation report at the end of Week 3</w:t>
      </w:r>
    </w:p>
    <w:p>
      <w:pPr>
        <w:spacing w:after="80"/>
      </w:pPr>
    </w:p>
    <w:p>
      <w:pPr>
        <w:spacing w:after="160" w:line="276" w:lineRule="auto"/>
      </w:pPr>
      <w:r>
        <w:rPr>
          <w:rFonts w:ascii="Arial" w:hAnsi="Arial"/>
          <w:b w:val="0"/>
          <w:i w:val="0"/>
          <w:color w:val="1D1C1C"/>
          <w:sz w:val="20"/>
        </w:rPr>
        <w:t xml:space="preserve">7. </w:t>
      </w:r>
      <w:r>
        <w:rPr>
          <w:rFonts w:ascii="Arial" w:hAnsi="Arial"/>
          <w:b/>
          <w:i w:val="0"/>
          <w:color w:val="1D1C1C"/>
          <w:sz w:val="20"/>
        </w:rPr>
        <w:t>Implementation Roadmap for Phase 2</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Phased plan detailing priority use cases, dependencies, risks, and key milestones for Phase 2 build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Timeline and resource recommendations to guide next steps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Integration points and critical path activities clearly identified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Presented as a roadmap slide deck in Week 4</w:t>
      </w:r>
    </w:p>
    <w:p>
      <w:pPr>
        <w:spacing w:after="80"/>
      </w:pPr>
    </w:p>
    <w:p>
      <w:pPr>
        <w:spacing w:after="160" w:line="276" w:lineRule="auto"/>
      </w:pPr>
      <w:r>
        <w:rPr>
          <w:rFonts w:ascii="Arial" w:hAnsi="Arial"/>
          <w:b w:val="0"/>
          <w:i w:val="0"/>
          <w:color w:val="1D1C1C"/>
          <w:sz w:val="20"/>
        </w:rPr>
        <w:t>Each deliverable will be iteratively reviewed with VONQ's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This engagement with VONQ focuses on the rapid design and preparation of an investor-ready exit reporting suite to underpin the near-term M&amp;A sale process. Leveraging best practices in SaaS analytics and transactional reporting, our methodology encompasses stakeholder collaboration, rigorous data assessment, and conceptual solution architecture anchored in the client’s Qlik Warehouse, Finance, CRM, and ERP systems. Every step is structured to support concise, actionable outputs that directly address equity narrative requirements, KPI standardization, and scalable data model foundations.</w:t>
      </w:r>
    </w:p>
    <w:p>
      <w:pPr>
        <w:spacing w:after="80"/>
      </w:pPr>
    </w:p>
    <w:p>
      <w:pPr>
        <w:spacing w:after="160" w:line="276" w:lineRule="auto"/>
      </w:pPr>
      <w:r>
        <w:rPr>
          <w:rFonts w:ascii="Arial" w:hAnsi="Arial"/>
          <w:b w:val="0"/>
          <w:i w:val="0"/>
          <w:color w:val="1D1C1C"/>
          <w:sz w:val="20"/>
        </w:rPr>
        <w:t>Our phased approach is tailored to deliver measurable progress within a compressed timeline, emphasizing iterative workshops, hands-on discovery, dashboard mock-ups, and clear recommendations for future-state tooling and implementation. All activities are mapped to the critical dependencies: stakeholder availability, data access readiness, and alignment with exit timelines. No technical build or system provisioning occurs in Phase 1; the focus is on design artifact production and readiness for Phase 2, which will be governed by a separate SOW.</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1: Discovery &amp; Design, Duration: 4 weeks, Timeline: Week 1 (29 June 2026) to Week 4 (24 July 2026)</w:t>
      </w:r>
    </w:p>
    <w:p>
      <w:pPr>
        <w:spacing w:after="160" w:line="276" w:lineRule="auto"/>
      </w:pPr>
      <w:r>
        <w:rPr>
          <w:rFonts w:ascii="Arial" w:hAnsi="Arial"/>
          <w:b/>
          <w:i w:val="0"/>
          <w:color w:val="1D1C1C"/>
          <w:sz w:val="20"/>
        </w:rPr>
        <w:t>Summary:</w:t>
      </w:r>
      <w:r>
        <w:rPr>
          <w:rFonts w:ascii="Arial" w:hAnsi="Arial"/>
          <w:b w:val="0"/>
          <w:i w:val="0"/>
          <w:color w:val="1D1C1C"/>
          <w:sz w:val="20"/>
        </w:rPr>
        <w:t xml:space="preserve"> The project team will facilitate workshops, perform data feasibility assessments, and deliver detailed design artifacts to define the exit reporting suite for VONQ’s transaction process.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kickoff workshop to confirm objectives, establish stakeholder roles, and align on M&amp;A reporting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equity narratives, “Metrics That Matter” KPI framework, and mapping of business metrics to investor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source data across Finance, CRM, ERP, and Qlik Warehouse to identify data gaps, trended data requirements, and feasibility for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Create static dashboard mock-ups, specifying layout, navigation, and investor-aligned KPI presentation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high-level conceptual data model using Qlik Warehouse as the foundation; outline extensibility to additional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 data infrastructure tooling options, including trade-off analysis, and draft a phased implementation roadmap for Phase 2</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In summary, Phase 1 is focused on defining reporting requirements, assessing data readiness, and producing design artifacts (narratives, KPIs, dashboards, and data models) with clear recommendations that prepare VONQ for technical implementation in Phase 2.</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The disciplined, structured approach ensures VONQ’s exit reporting suite is designed against transaction deadlines and investor expectations, producing validated business assets and actionable design artefacts that can be fully leveraged for the subsequent technical build. Our methodology is engineered to minimize risk, maximize stakeholder confidence, and provide leadership with the clarity required to progress through the M&amp;A process with speed and precision.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will deliver a measurable transformation in VONQ's M&amp;A readiness by establishing a robust, scalable exit reporting suite. Through a validated design aligned to investor requirements, leadership and key stakeholders will gain the tools needed to confidently present data-backed equity narratives, streamline reporting workflows, and accelerate the transaction process. The outcomes are designed to minimize delays, enable data-driven insights, and ensure that the reporting infrastructure becomes a lasting asset for the business.</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Investor-Ready KPI Framework:</w:t>
      </w:r>
      <w:r>
        <w:rPr>
          <w:rFonts w:ascii="Arial" w:hAnsi="Arial"/>
          <w:b w:val="0"/>
          <w:i w:val="0"/>
          <w:color w:val="1D1C1C"/>
          <w:sz w:val="20"/>
        </w:rPr>
        <w:t xml:space="preserve"> A comprehensive set of prioritized KPIs, aligned to equity narratives, providing clear visibility into commercial, financial, and operational metrics required for investor reporting and due diligence.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Validated Exit Reporting Design:</w:t>
      </w:r>
      <w:r>
        <w:rPr>
          <w:rFonts w:ascii="Arial" w:hAnsi="Arial"/>
          <w:b w:val="0"/>
          <w:i w:val="0"/>
          <w:color w:val="1D1C1C"/>
          <w:sz w:val="20"/>
        </w:rPr>
        <w:t xml:space="preserve"> Completion and sign-off of design artefacts—including dashboard mock-ups and data model—ensuring readiness to guide Phase 2 build and support timely stakeholder communications throughout the exit process.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 Gap Identification and Remediation Priorities:</w:t>
      </w:r>
      <w:r>
        <w:rPr>
          <w:rFonts w:ascii="Arial" w:hAnsi="Arial"/>
          <w:b w:val="0"/>
          <w:i w:val="0"/>
          <w:color w:val="1D1C1C"/>
          <w:sz w:val="20"/>
        </w:rPr>
        <w:t xml:space="preserve"> Explicit mapping of data gaps across core and legacy systems, enabling targeted remediation efforts and elevating data quality for investor scrutiny.</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Data Ingestion and Refresh Processes:</w:t>
      </w:r>
      <w:r>
        <w:rPr>
          <w:rFonts w:ascii="Arial" w:hAnsi="Arial"/>
          <w:b w:val="0"/>
          <w:i w:val="0"/>
          <w:color w:val="1D1C1C"/>
          <w:sz w:val="20"/>
        </w:rPr>
        <w:t xml:space="preserve"> Design of refreshable batch data pipelines from key source systems into the Qlik Warehouse, reducing manual intervention and ensuring consistent, up-to-date transaction reporting.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Stakeholder Confidence:</w:t>
      </w:r>
      <w:r>
        <w:rPr>
          <w:rFonts w:ascii="Arial" w:hAnsi="Arial"/>
          <w:b w:val="0"/>
          <w:i w:val="0"/>
          <w:color w:val="1D1C1C"/>
          <w:sz w:val="20"/>
        </w:rPr>
        <w:t xml:space="preserve"> Enhanced ability to present credible, data-backed equity narratives to acquirers and advisors, minimizing reputational risk and maximizing transaction value.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Infrastructure:</w:t>
      </w:r>
      <w:r>
        <w:rPr>
          <w:rFonts w:ascii="Arial" w:hAnsi="Arial"/>
          <w:b w:val="0"/>
          <w:i w:val="0"/>
          <w:color w:val="1D1C1C"/>
          <w:sz w:val="20"/>
        </w:rPr>
        <w:t xml:space="preserve"> Establishment of a conceptual data model and reporting suite that are extensible to additional data sources and automatable post-transaction, enabling future scalability and business growth.</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M&amp;A Timeline:</w:t>
      </w:r>
      <w:r>
        <w:rPr>
          <w:rFonts w:ascii="Arial" w:hAnsi="Arial"/>
          <w:b w:val="0"/>
          <w:i w:val="0"/>
          <w:color w:val="1D1C1C"/>
          <w:sz w:val="20"/>
        </w:rPr>
        <w:t xml:space="preserve"> By providing investor-ready reporting frameworks and actionable dashboard mock-ups within a four-week discovery window, VONQ will be positioned to expedite its exit process and reduce potential transactional delays, directly supporting the target sale timeline.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Investor-Grade Data Visibility:</w:t>
      </w:r>
      <w:r>
        <w:rPr>
          <w:rFonts w:ascii="Arial" w:hAnsi="Arial"/>
          <w:b w:val="0"/>
          <w:i w:val="0"/>
          <w:color w:val="1D1C1C"/>
          <w:sz w:val="20"/>
        </w:rPr>
        <w:t xml:space="preserve"> The introduction of a prioritised KPI framework and refreshable data suite, leveraging integrated data from Finance, CRM, and ERP sources, delivers leadership with enhanced transparency on financial and commercial performance—critical for maximizing valuation in the sale process.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Gains:</w:t>
      </w:r>
      <w:r>
        <w:rPr>
          <w:rFonts w:ascii="Arial" w:hAnsi="Arial"/>
          <w:b w:val="0"/>
          <w:i w:val="0"/>
          <w:color w:val="1D1C1C"/>
          <w:sz w:val="20"/>
        </w:rPr>
        <w:t xml:space="preserve"> Automating data ingestion and refresh processes from disparate systems into the Qlik Warehouse eliminates manual effort for recurring transaction reporting, streamlining reporting workflows for Finance and analytics teams and reducing preparation time by an estimated 30% compared to existing approaches.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Value and Future Scalability:</w:t>
      </w:r>
      <w:r>
        <w:rPr>
          <w:rFonts w:ascii="Arial" w:hAnsi="Arial"/>
          <w:b w:val="0"/>
          <w:i w:val="0"/>
          <w:color w:val="1D1C1C"/>
          <w:sz w:val="20"/>
        </w:rPr>
        <w:t xml:space="preserve"> The conceptual data model and roadmap empower VONQ to future-proof its data infrastructure, ensuring the design is extensible to new data sources and remains automatable post-transaction—minimizing additional investment requirements during future business changes or further growth phases.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Risk Mitigation and Credibility:</w:t>
      </w:r>
      <w:r>
        <w:rPr>
          <w:rFonts w:ascii="Arial" w:hAnsi="Arial"/>
          <w:b w:val="0"/>
          <w:i w:val="0"/>
          <w:color w:val="1D1C1C"/>
          <w:sz w:val="20"/>
        </w:rPr>
        <w:t xml:space="preserve"> Addressing current data gaps and standardizing KPI definitions reduces the risk of misaligned narratives or incomplete information during investor due diligence, improving VONQ’s reputation with advisors, stakeholders, and potential acquirers.</w:t>
      </w:r>
    </w:p>
    <w:p>
      <w:pPr>
        <w:spacing w:after="80"/>
      </w:pPr>
    </w:p>
    <w:p>
      <w:pPr>
        <w:spacing w:after="160" w:line="276" w:lineRule="auto"/>
      </w:pPr>
      <w:r>
        <w:rPr>
          <w:rFonts w:ascii="Arial" w:hAnsi="Arial"/>
          <w:b w:val="0"/>
          <w:i w:val="0"/>
          <w:color w:val="1D1C1C"/>
          <w:sz w:val="20"/>
        </w:rPr>
        <w:t>This initiative establishes a transformative foundation for VONQ's exit reporting and M&amp;A readiness, combining operational automation, strategic data alignment, and investor-focused transparency. By enabling efficient, accurate, and scalable reporting processes, VONQ will be well-equipped to maximize transaction value and ensure the credibility necessary for a successful sale process.</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