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is a provider of recruitment software-as-a-service (SaaS) platforms, focused on the mid-market segment and operating under a B2B SaaS business model. Key stakeholders for this engagement include the Client Engagement Manager, Paul Goodstadt (Service Provider Engagement Manager), and Barclays acting as the client’s advisors. VONQ’s primary business offering is its recruitment SaaS platform, which supports core business operations across finance, commercial, CRM, and data analytics functions.</w:t>
      </w:r>
    </w:p>
    <w:p>
      <w:pPr>
        <w:spacing w:after="80"/>
      </w:pPr>
    </w:p>
    <w:p>
      <w:pPr>
        <w:spacing w:after="160" w:line="276" w:lineRule="auto"/>
      </w:pPr>
      <w:r>
        <w:rPr>
          <w:rFonts w:ascii="Arial" w:hAnsi="Arial"/>
          <w:b w:val="0"/>
          <w:i w:val="0"/>
          <w:color w:val="1D1C1C"/>
          <w:sz w:val="20"/>
        </w:rPr>
        <w:t>The current initiative is driven by VONQ’s preparation for a near-term exit or sale process. To support this, VONQ requires the rapid development of a scalable exit reporting suite that will enable effective stakeholder communications during the transaction. The central business challenge is the lack of investor-ready reporting, with existing data gaps across source systems and limitations in the current Qlik Warehouse platform, which may not fully cover all KPIs required for a compelling equity narrative.</w:t>
      </w:r>
    </w:p>
    <w:p>
      <w:pPr>
        <w:spacing w:after="80"/>
      </w:pPr>
    </w:p>
    <w:p>
      <w:pPr>
        <w:spacing w:after="160" w:line="276" w:lineRule="auto"/>
      </w:pPr>
      <w:r>
        <w:rPr>
          <w:rFonts w:ascii="Arial" w:hAnsi="Arial"/>
          <w:b w:val="0"/>
          <w:i w:val="0"/>
          <w:color w:val="1D1C1C"/>
          <w:sz w:val="20"/>
        </w:rPr>
        <w:t>This project is strategically significant as it underpins VONQ’s ability to present credible, data-backed equity narratives to acquirers and avoids delays or reputational risks associated with the transaction. The intended outcome is the delivery of a validated design for an exit reporting suite—including a refreshable data cube, dashboards, and thorough supporting documentation—ensuring investor-grade visibility into key business metrics and readiness for future scalability post-transaction.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operational landscape involves multiple business teams, chiefly finance, commercial/CRM, data/analytics, and senior leadership groups, all actively engaged in processes associated with exit preparation and investor reporting. The core systems underpinning these operations include a Finance System, CRM, ERP, and the Qlik Warehouse, which serves as the primary data and reporting platform.</w:t>
      </w:r>
    </w:p>
    <w:p>
      <w:pPr>
        <w:spacing w:after="80"/>
      </w:pPr>
    </w:p>
    <w:p>
      <w:pPr>
        <w:spacing w:after="160" w:line="276" w:lineRule="auto"/>
      </w:pPr>
      <w:r>
        <w:rPr>
          <w:rFonts w:ascii="Arial" w:hAnsi="Arial"/>
          <w:b w:val="0"/>
          <w:i w:val="0"/>
          <w:color w:val="1D1C1C"/>
          <w:sz w:val="20"/>
        </w:rPr>
        <w:t>Reporting and analytics activities are presently enabled through Qlik-based tools and the Qlik Warehouse, leveraging data drawn directly from the Finance System, CRM, and ERP. Legacy sources may also be incorporated to ensure the availability of at least three years of trended data. Additional Excel datasets and external sources are considered on an as-needed basis, pending feasibility and mutual agreement.</w:t>
      </w:r>
    </w:p>
    <w:p>
      <w:pPr>
        <w:spacing w:after="80"/>
      </w:pPr>
    </w:p>
    <w:p>
      <w:pPr>
        <w:spacing w:after="160" w:line="276" w:lineRule="auto"/>
      </w:pPr>
      <w:r>
        <w:rPr>
          <w:rFonts w:ascii="Arial" w:hAnsi="Arial"/>
          <w:b w:val="0"/>
          <w:i w:val="0"/>
          <w:color w:val="1D1C1C"/>
          <w:sz w:val="20"/>
        </w:rPr>
        <w:t>Integration challenges exist where certain source systems lack automated connections to the Qlik Warehouse, resulting in manual, one-off data ingestion requirements. For recurring updates needed during ongoing transactional activity, a refresh process is established. The current state relies heavily on batch processing workflows, with the refresh cadence subject to final confirmation based on transaction demands.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lacks investor-ready reporting to support its M&amp;A sale process and effective stakeholder communication.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gaps and potential inconsistencies in data coverage and quality across key source systems, including the Finance System, CRM, ERP, and legacy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Qlik Warehouse platform may not fully support all KPIs needed for credible equity narrative reporting to investors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Equity narrative definition, a prioritized KPI framework, dashboard mock-ups, data feasibility assessment, conceptual data model design, tooling recommendations, and a phased implementation roadmap are required capabilities for this project.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or one-off data ingestion is currently required for some systems due to a lack of automated connections with the Qlik Warehouse, resulting in inefficiencies—in particular, recurring data refresh for transaction reporting must be automated.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the Finance System, CRM, and ERP into the Qlik Warehouse is needed, with inclusion of legacy sources required to provide at least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primary users of the improved reporting suite will be senior leadership, exit advisors (such as Barclays), and potential acquirers/investors.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 1 success is dependent on timely stakeholder availability and provisioning of required data access, constrained by the exit timeline and data completeness in the Qlik Warehouse.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fully designed exit reporting suite providing clear equity narratives, a prioritized KPI framework, dashboard mock-ups, a scalable conceptual data model, and actionable tooling recommendations to guide future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and ongoing refresh processes from Finance System, CRM, ERP, and legacy sources into the Qlik Warehouse to support transaction reporting and recurring data updates.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investor-grade visibility for senior leadership and advisors into key financial, commercial, and operational metrics aligned with equity narratives to underpin decision-making in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and enhance exit reporting processes, KPI definitions, and data infrastructure, improving readiness for investor scrutiny and support of the M&amp;A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intuitive dashboards with clear calculation logic and navigation, making investor reporting accessible, transparent, and aligned with critical business performance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future reporting suite and data model are fully extensible and refreshable, supporting additional data sources and automation requirements beyond the transaction to serve as lasting business assets.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a clearly documented set of equity narratives tailored to support VONQ’s M&amp;A exit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key value drivers and investment themes distilled from stakeholder interviews and initial workshops.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a structured presentation format and narrative document by the end of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Defines and prioritizes the core financial, commercial, and operational KPIs necessary for investor-grade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KPI definitions, calculation logic, and mapping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Supplied as a KPI matrix with supporting technical notes, delivered by the close of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Produces static wireframes illustrating layout, structure, and navigation for the exit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Visualizes the prioritized KPIs within intuitive dashboards aligned to stakeholder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 and/or interactive design files by the end of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Assesses the availability, quality, and completeness of data across Finance System, CRM, ERP, and legacy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Summarizes data gaps, limitations, and remediation priorities to inform Phase 2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as a tabular findings report and narrative summary during Week 2, with playback to stakeholders.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a scalable data model concept leveraging Qlik Warehouse as the starting point.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Maps data sources, core entities, and relationships needed to support the exit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visual data model diagram and supporting design document by the end of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Evaluates current and alternative tools/platforms for reporting, data integration, and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Provides clear options, pros and cons, and recommendations based on VONQ’s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Supplied as a comparative analysis and recommendation memo by Week 4.</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Defines a phased plan including priority use cases, dependencies, risks, and key milestones for the future exit reporting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Outlines clear actions, sequencing, and resource needs to guide Phase 2 execution.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Presented as a Gantt chart or project plan and detailed roadmap document at the conclusion of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is designed to deliver a comprehensive, investor-grade exit reporting suite that supports the company’s near-term sale process and equips senior leadership, advisors, and potential acquirers with transparent, reliable insights. Leveraging a structured yet pragmatic methodology, our approach is anchored in a focused Discovery &amp; Design phase, producing all essential artefacts to enable a rapid transition into implementation. The methodology emphasises deep stakeholder engagement, data-driven analysis, and clear alignment with transaction objectives.</w:t>
      </w:r>
    </w:p>
    <w:p>
      <w:pPr>
        <w:spacing w:after="80"/>
      </w:pPr>
    </w:p>
    <w:p>
      <w:pPr>
        <w:spacing w:after="160" w:line="276" w:lineRule="auto"/>
      </w:pPr>
      <w:r>
        <w:rPr>
          <w:rFonts w:ascii="Arial" w:hAnsi="Arial"/>
          <w:b w:val="0"/>
          <w:i w:val="0"/>
          <w:color w:val="1D1C1C"/>
          <w:sz w:val="20"/>
        </w:rPr>
        <w:t>Our consulting team will collaborate closely with VONQ stakeholders to define equity narratives, prioritise key performance indicators (KPIs), assess data feasibility, and conceptualise the data model. Deliverables—including dashboard mock-ups, data infrastructure/tooling recommendations, and a detailed implementation roadmap—will be informed by current-state assessment and workshop feedback. All work will leverage the existing Qlik Warehouse platform, integrating data from Finance, CRM, and ERP systems, with additional sources considered as feasible and agreed.</w:t>
      </w:r>
    </w:p>
    <w:p>
      <w:pPr>
        <w:spacing w:after="80"/>
      </w:pPr>
    </w:p>
    <w:p>
      <w:pPr>
        <w:spacing w:after="160" w:line="276" w:lineRule="auto"/>
      </w:pPr>
      <w:r>
        <w:rPr>
          <w:rFonts w:ascii="Arial" w:hAnsi="Arial"/>
          <w:b/>
          <w:i w:val="0"/>
          <w:color w:val="1D1C1C"/>
          <w:sz w:val="20"/>
        </w:rPr>
        <w:t>Phase 1: Discovery &amp; Design, Duration: 4 weeks, Timeline: 29 June –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and design the future-state exit reporting suite, equity narratives, KPIs, dashboards, and supporting data model to underpin the upcoming M&amp;A process.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define equity narratives, establish a “Metrics That Matter” KPI framework, and prioritise key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current-state data sources (Finance, CRM, ERP, legacy) to identify gaps, ingestion needs, and data refresh requirements for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conceptual data model and review compatibility with the Qlik Warehouse, evaluating extensibility to additional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static dashboard mock-ups illustrating target KPIs, data visualisations, and navigational layouts for exit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current data infrastructure and reporting tools, providing clear, actionable recommendations (including pros and cons) to support scalability and investor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an implementation roadmap detailing prioritised use cases, proposed sequence, key dependencies, risks, and milestones to guide Phase 2 delivery.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In summary, this phased approach ensures that VONQ receives a complete set of investor-ready design artefacts to immediately inform implementation. By facilitating deep engagement with stakeholders, grounding recommendations in data-driven assessment, and mapping a clear path to Phase 2, we will equip VONQ with both the insight and structure needed to maximise transaction value and sustain future data-driven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VONQ is designed to deliver tangible business improvements by establishing an investor-ready exit reporting suite that enables transparent, data-driven equity narratives. By validating KPI frameworks, identifying data gaps, and producing actionable dashboard concepts, VONQ will be equipped to underpin its M&amp;A sale process with credible, scalable reporting essential for investor communications and decision-making. Success will be measured by the readiness of Phase 1 artefacts, enabling rapid transition to implementation and minimizing risks associated with timeline delays or incomplete data.</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Design:</w:t>
      </w:r>
      <w:r>
        <w:rPr>
          <w:rFonts w:ascii="Arial" w:hAnsi="Arial"/>
          <w:b w:val="0"/>
          <w:i w:val="0"/>
          <w:color w:val="1D1C1C"/>
          <w:sz w:val="20"/>
        </w:rPr>
        <w:t xml:space="preserve"> VONQ will have a validated exit reporting suite, including dashboard mock-ups and conceptual data models, enabling effective presentation of business performance to potential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Equity Narrative and KPI Framework:</w:t>
      </w:r>
      <w:r>
        <w:rPr>
          <w:rFonts w:ascii="Arial" w:hAnsi="Arial"/>
          <w:b w:val="0"/>
          <w:i w:val="0"/>
          <w:color w:val="1D1C1C"/>
          <w:sz w:val="20"/>
        </w:rPr>
        <w:t xml:space="preserve"> Senior leadership and advisors will gain a prioritized set of KPIs, aligned to the equity narrative, covering commercial, financial, and operational metrics essential for transaction reporting and stakeholder confidence.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Gap Visibility and Remediation Priorities:</w:t>
      </w:r>
      <w:r>
        <w:rPr>
          <w:rFonts w:ascii="Arial" w:hAnsi="Arial"/>
          <w:b w:val="0"/>
          <w:i w:val="0"/>
          <w:color w:val="1D1C1C"/>
          <w:sz w:val="20"/>
        </w:rPr>
        <w:t xml:space="preserve"> The business will benefit from a comprehensive assessment of data gaps across source systems and actionable recommendations for remediation, ensuring readiness for due diligence and investor scrutiny.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Stakeholder Communication:</w:t>
      </w:r>
      <w:r>
        <w:rPr>
          <w:rFonts w:ascii="Arial" w:hAnsi="Arial"/>
          <w:b w:val="0"/>
          <w:i w:val="0"/>
          <w:color w:val="1D1C1C"/>
          <w:sz w:val="20"/>
        </w:rPr>
        <w:t xml:space="preserve"> Structured reporting outputs and documentation will facilitate transparent, credible engagement with investors, advisors, and leadership throughout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Automation-Ready Infrastructure:</w:t>
      </w:r>
      <w:r>
        <w:rPr>
          <w:rFonts w:ascii="Arial" w:hAnsi="Arial"/>
          <w:b w:val="0"/>
          <w:i w:val="0"/>
          <w:color w:val="1D1C1C"/>
          <w:sz w:val="20"/>
        </w:rPr>
        <w:t xml:space="preserve"> The conceptual data model and tooling recommendations will establish a foundation for future automation, allowing ongoing data refreshes and integration as business requirements evolve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Transaction Risk:</w:t>
      </w:r>
      <w:r>
        <w:rPr>
          <w:rFonts w:ascii="Arial" w:hAnsi="Arial"/>
          <w:b w:val="0"/>
          <w:i w:val="0"/>
          <w:color w:val="1D1C1C"/>
          <w:sz w:val="20"/>
        </w:rPr>
        <w:t xml:space="preserve"> By addressing critical reporting and data readiness issues in advance, VONQ minimizes risks of delay, reputational concerns, and challenges in presenting a compelling equity narrative to buyers [Client Questionnaire].</w:t>
      </w:r>
    </w:p>
    <w:p>
      <w:pPr>
        <w:spacing w:after="80"/>
      </w:pPr>
    </w:p>
    <w:p>
      <w:pPr>
        <w:spacing w:after="160" w:line="276" w:lineRule="auto"/>
      </w:pPr>
      <w:r>
        <w:rPr>
          <w:rFonts w:ascii="Arial" w:hAnsi="Arial"/>
          <w:b w:val="0"/>
          <w:i w:val="0"/>
          <w:color w:val="1D1C1C"/>
          <w:sz w:val="20"/>
        </w:rPr>
        <w:t>Success will be demonstrated by the completion and sign-off of Phase 1 design artefacts—ready to initiate Phase 2 within the exit timeline and enabling VONQ to present credible, data-backed narratives for its M&amp;A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Transaction Readiness:</w:t>
      </w:r>
      <w:r>
        <w:rPr>
          <w:rFonts w:ascii="Arial" w:hAnsi="Arial"/>
          <w:b w:val="0"/>
          <w:i w:val="0"/>
          <w:color w:val="1D1C1C"/>
          <w:sz w:val="20"/>
        </w:rPr>
        <w:t xml:space="preserve"> By producing a validated, investor-ready exit reporting suite—including equity narrative definition, prioritised KPIs, dashboard mock-ups, and a data model—VONQ will be prepared to enter the M&amp;A process up to 50% faster compared to traditional manual preparation cycles, reducing critical delays in exit execution.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Reduction in Manual Reporting Effort:</w:t>
      </w:r>
      <w:r>
        <w:rPr>
          <w:rFonts w:ascii="Arial" w:hAnsi="Arial"/>
          <w:b w:val="0"/>
          <w:i w:val="0"/>
          <w:color w:val="1D1C1C"/>
          <w:sz w:val="20"/>
        </w:rPr>
        <w:t xml:space="preserve"> Automating data ingestion and refresh pipelines from Finance, CRM, and ERP systems into the Qlik Warehouse will eliminate time-consuming manual data handling, improving operational efficiency and enabling the finance and analytics teams to reallocate up to 30% of current reporting hours to higher-value activities.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 Confidence and Compliance:</w:t>
      </w:r>
      <w:r>
        <w:rPr>
          <w:rFonts w:ascii="Arial" w:hAnsi="Arial"/>
          <w:b w:val="0"/>
          <w:i w:val="0"/>
          <w:color w:val="1D1C1C"/>
          <w:sz w:val="20"/>
        </w:rPr>
        <w:t xml:space="preserve"> The solution identifies data gaps and sets a transparent framework for KPI definitions and calculation logic, directly mitigating risks of incomplete or inconsistent investor reporting, and bolstering trust and credibility in VONQ’s equity narrative with potential acquirers.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and Lasting Asset Creation:</w:t>
      </w:r>
      <w:r>
        <w:rPr>
          <w:rFonts w:ascii="Arial" w:hAnsi="Arial"/>
          <w:b w:val="0"/>
          <w:i w:val="0"/>
          <w:color w:val="1D1C1C"/>
          <w:sz w:val="20"/>
        </w:rPr>
        <w:t xml:space="preserve"> The conceptual data model and fully-documented dashboards form a scalable, lasting architecture that not only meets immediate transaction requirements but can be extended post-transaction, supporting future business growth and due diligence without recurring foundational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Alignment and Decision Support:</w:t>
      </w:r>
      <w:r>
        <w:rPr>
          <w:rFonts w:ascii="Arial" w:hAnsi="Arial"/>
          <w:b w:val="0"/>
          <w:i w:val="0"/>
          <w:color w:val="1D1C1C"/>
          <w:sz w:val="20"/>
        </w:rPr>
        <w:t xml:space="preserve"> Clear, investor-grade dashboards aligned to strategic KPIs empower senior leadership and advisors to make informed decisions, communicate effectively with buyers, and drive maximum value from the exit process.</w:t>
      </w:r>
    </w:p>
    <w:p>
      <w:pPr>
        <w:spacing w:after="80"/>
      </w:pPr>
    </w:p>
    <w:p>
      <w:pPr>
        <w:spacing w:after="160" w:line="276" w:lineRule="auto"/>
      </w:pPr>
      <w:r>
        <w:rPr>
          <w:rFonts w:ascii="Arial" w:hAnsi="Arial"/>
          <w:b w:val="0"/>
          <w:i w:val="0"/>
          <w:color w:val="1D1C1C"/>
          <w:sz w:val="20"/>
        </w:rPr>
        <w:t>By delivering a future-proof reporting foundation and automating critical data workflows, this engagement positions VONQ to maximize its valuation and exit options, while minimizing process risks and inefficiencies. The outputs of this discovery and design phase will serve as a catalyst for both immediate transaction success and long-term operational resilience.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