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VONQ is a mid-market recruitment SaaS provider operating under a B2B model, delivering a software-as-a-service platform designed to support recruitment operations. The company’s key business stakeholders for this initiative include the Client Engagement Manager (to be confirmed), Paul Goodstadt as Service Provider Engagement Manager, and Barclays acting as the client’s advisors. Stakeholders spanning finance, commercial/CRM, data/analytics, and senior leadership teams are directly involved, reflecting the enterprise-wide significance of the current project.</w:t>
      </w:r>
    </w:p>
    <w:p>
      <w:pPr>
        <w:spacing w:after="80"/>
      </w:pPr>
    </w:p>
    <w:p>
      <w:pPr>
        <w:spacing w:after="160" w:line="276" w:lineRule="auto"/>
      </w:pPr>
      <w:r>
        <w:rPr>
          <w:rFonts w:ascii="Arial" w:hAnsi="Arial"/>
          <w:b w:val="0"/>
          <w:i w:val="0"/>
          <w:color w:val="1D1C1C"/>
          <w:sz w:val="20"/>
        </w:rPr>
        <w:t>VONQ is preparing for a near-term exit or sale process and urgently requires a scalable, investor-ready exit reporting suite. The core business need is to rapidly design and deliver a refreshable data cube, comprehensive dashboards, and supporting documentation that will enable robust, transparent communications with both internal stakeholders and potential investors. The impetus for this initiative stems from the current lack of investor-ready reporting, possible data gaps across source systems, and limitations within the existing Qlik Warehouse, which may not fully address the KPI and equity narrative demands of prospective acquirers.</w:t>
      </w:r>
    </w:p>
    <w:p>
      <w:pPr>
        <w:spacing w:after="80"/>
      </w:pPr>
    </w:p>
    <w:p>
      <w:pPr>
        <w:spacing w:after="160" w:line="276" w:lineRule="auto"/>
      </w:pPr>
      <w:r>
        <w:rPr>
          <w:rFonts w:ascii="Arial" w:hAnsi="Arial"/>
          <w:b w:val="0"/>
          <w:i w:val="0"/>
          <w:color w:val="1D1C1C"/>
          <w:sz w:val="20"/>
        </w:rPr>
        <w:t>This effort is strategically critical to VONQ’s transaction readiness. Deliverables from this phase—an equity narrative definition, prioritised KPI framework, dashboard mock-ups, data feasibility assessment, conceptual data model, tooling recommendations, and an implementation roadmap—will underpin VONQ’s ability to present a compelling, data-backed growth story while enabling consistent and scalable reporting throughout the exit process. Successful execution is essential to avoid risks including delays, data credibility issues, and potential reputational impact with advisors and buyers.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VONQ’s current operations relevant to exit preparation and investor reporting involve the finance, commercial/CRM, data/analytics, and senior leadership teams. The company relies primarily on its Finance System, CRM, ERP, and Qlik Warehouse platforms for data management and reporting activities. Qlik Warehouse serves as the main data platform, with existing reporting and analytics functions powered by Qlik-based tools.</w:t>
      </w:r>
    </w:p>
    <w:p>
      <w:pPr>
        <w:spacing w:after="80"/>
      </w:pPr>
    </w:p>
    <w:p>
      <w:pPr>
        <w:spacing w:after="160" w:line="276" w:lineRule="auto"/>
      </w:pPr>
      <w:r>
        <w:rPr>
          <w:rFonts w:ascii="Arial" w:hAnsi="Arial"/>
          <w:b w:val="0"/>
          <w:i w:val="0"/>
          <w:color w:val="1D1C1C"/>
          <w:sz w:val="20"/>
        </w:rPr>
        <w:t>The key data sources integrated into the reporting environment include the Finance System, CRM, ERP, and the Qlik Warehouse, alongside legacy sources that may be required to provide at least three years of trended data. Excel-based datasets and certain external systems may also be considered, subject to feasibility and agreement. Batch processing is currently in use, and integration from some source systems into the Qlik Warehouse is manual, requiring one-off ingestion to establish data pipelines. Where periodic data refreshes are needed during the transaction, a recurring process will be set up to ensure timely updates across the reporting suite.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VONQ requires a rapidly developed, scalable exit reporting suite to support its M&amp;A sale process and ensure effective investor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current reporting environment lacks investor-ready outputs and may not provide complete coverage of the required KPIs essential for constructing credible equity narratives.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gaps exist across source systems, and the Qlik Warehouse may not sufficiently support all metrics required by prospective acquirers and advisors for due diligence.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Some integration challenges are present, with certain source systems not having automated connections into the Qlik Warehouse, necessitating manual data ingestion and recurring refresh processes during the transaction period.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Capabilities needed include the definition of equity narratives, a prioritised KPI framework, static dashboard mock-ups, data feasibility assessments, a conceptual data model, tooling recommendations, and a phased implementation roadmap.</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refresh pipelines are required for Finance System, CRM, ERP, and relevant legacy sources to provide ongoing and reliable data updates as part of the exit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Key user roles for the reporting suite include senior leadership, exit advisors (e.g., Barclays), and potential acquirers or investors.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encompass the Finance System, CRM, ERP, and legacy data sources (to supply at least three years of trended data) into the Qlik Warehouse.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a fully designed exit reporting suite with clear equity narratives and a prioritised KPI framework to guide the M&amp;A sale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automated, refreshable data ingestion pipelines from all primary and legacy source systems to ensure recurring and reliable transaction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investor-grade visibility into key business metrics that underpin robust, data-driven equity narratives.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intuitive dashboards that offer clear KPI definitions, calculation logic, and streamlined navigation aligned with investor expectations.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Standardise exit reporting and KPI definitions to enhance the organisation’s readiness for investor scrutiny and facilitate efficient reporting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a scalable and extensible data model and reporting suite that can accommodate additional data sources and ongoing refresh post-transaction.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seamless integration of the future platform with Finance System, CRM, ERP, and Qlik Warehouse as a foundation for future technology choices and scalability.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VONQ,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Equity Narratives Definition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articulation of the core equity narratives to underpin the M&amp;A sale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Mapping of key business themes to target investor personas.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delivered in workshop output summaries and a consolidated equity narrative deck.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by end of Week 1 following stakeholder workshops.</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Metrics that Matter KPI Framework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Prioritised framework of investor-relevant KPIs across commercial, financial, and operational dimensions.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KPI definitions, including calculation logic and supporting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Excel and presentation formats provided for ease of review and pivoting.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by end of Week 2, with interim updates following initial requirements gathering.</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Dashboard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Static wireframes illustrating proposed dashboard layouts, navigation structure, and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Inclusion of prioritized KPIs, data views, and sample drill-downs as per Phase 1 scope.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Deliverables provided as annotated PDF and PowerPoint files.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by end of Week 3, enabling stakeholder feedback cycles prior to finalization.</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Feasibility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Assessment of data availability and quality across all required sources (Finance, CRM, ERP, legacy).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documentation of data gaps, risks, and recommendations for remediation.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Playback session and written summary report with supporting tables.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by mid-Week 2, with findings shared for collaborative issue resolution.</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Conceptual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High-level data model blueprint reflecting required entities, relationships, and data 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Focused on Qlik Warehouse, with extensibility options for additional or alternative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both diagrammatic (e.g., Visio, PowerPoint) and narrative formats.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by end of Week 3, for inclusion in summary design pack.</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Data Infrastructure and Tooling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Comparative analysis of recommended tools, platforms, and data pipeline options—including pros, cons, and trade-off rationale.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Specific focus on integration feasibility, scalability, and operational efficiency for Phase 2.</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written report with summary slides.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by end of Week 3.</w:t>
      </w:r>
    </w:p>
    <w:p>
      <w:pPr>
        <w:spacing w:after="80"/>
      </w:pPr>
    </w:p>
    <w:p>
      <w:pPr>
        <w:spacing w:after="160" w:line="276" w:lineRule="auto"/>
      </w:pPr>
      <w:r>
        <w:rPr>
          <w:rFonts w:ascii="Arial" w:hAnsi="Arial"/>
          <w:b w:val="0"/>
          <w:i w:val="0"/>
          <w:color w:val="1D1C1C"/>
          <w:sz w:val="20"/>
        </w:rPr>
        <w:t xml:space="preserve">7. </w:t>
      </w:r>
      <w:r>
        <w:rPr>
          <w:rFonts w:ascii="Arial" w:hAnsi="Arial"/>
          <w:b/>
          <w:i w:val="0"/>
          <w:color w:val="1D1C1C"/>
          <w:sz w:val="20"/>
        </w:rPr>
        <w:t>Implementation Roadmap for Phase 2</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Phased plan outlining key activities, dependencies, prioritized use cases, and risk mitigations to guide the build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Defined milestones, critical path, and decision points for leadership review.</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Roadmap provided as a Gantt chart with supporting narrative.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by end of Week 4 as the capstone planning artifact.</w:t>
      </w:r>
    </w:p>
    <w:p>
      <w:pPr>
        <w:spacing w:after="80"/>
      </w:pPr>
    </w:p>
    <w:p>
      <w:pPr>
        <w:spacing w:after="160" w:line="276" w:lineRule="auto"/>
      </w:pPr>
      <w:r>
        <w:rPr>
          <w:rFonts w:ascii="Arial" w:hAnsi="Arial"/>
          <w:b w:val="0"/>
          <w:i w:val="0"/>
          <w:color w:val="1D1C1C"/>
          <w:sz w:val="20"/>
        </w:rPr>
        <w:t>Each deliverable will be iteratively reviewed with VONQ's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The proposed engagement with VONQ is structured as a targeted, high-impact consulting partnership to design a scalable, investor-ready exit reporting suite. Leveraging proven methodologies in data design, KPI framework development, and dashboard conceptualization, we will ensure all outputs are tailored to support VONQ’s near-term M&amp;A objectives. Our approach prioritizes collaboration with key stakeholders, rapid assessment of the current state, and pragmatic recommendations to underpin the transaction with robust, defensible data assets.</w:t>
      </w:r>
    </w:p>
    <w:p>
      <w:pPr>
        <w:spacing w:after="80"/>
      </w:pPr>
    </w:p>
    <w:p>
      <w:pPr>
        <w:spacing w:after="160" w:line="276" w:lineRule="auto"/>
      </w:pPr>
      <w:r>
        <w:rPr>
          <w:rFonts w:ascii="Arial" w:hAnsi="Arial"/>
          <w:b w:val="0"/>
          <w:i w:val="0"/>
          <w:color w:val="1D1C1C"/>
          <w:sz w:val="20"/>
        </w:rPr>
        <w:t>Our methodology follows a focused Discovery &amp; Design phase, delivered over four weeks, which culminates in comprehensive design artefacts. This includes equity narratives, a prioritised KPI framework, dashboard mock-ups, a conceptual data model, data infrastructure recommendations, and a detailed roadmap for Phase 2 execution. All activities are aligned to VONQ’s timelines, constraints, and strategic outcomes, ensuring an actionable pathway from design to implementation while minimizing business disruption.</w:t>
      </w:r>
    </w:p>
    <w:p>
      <w:pPr>
        <w:spacing w:after="80"/>
      </w:pPr>
    </w:p>
    <w:p>
      <w:pPr>
        <w:spacing w:after="160" w:line="276" w:lineRule="auto"/>
      </w:pPr>
      <w:r>
        <w:rPr>
          <w:rFonts w:ascii="Arial" w:hAnsi="Arial"/>
          <w:b/>
          <w:i w:val="0"/>
          <w:color w:val="1D1C1C"/>
          <w:sz w:val="20"/>
        </w:rPr>
        <w:t>Phase 1: Discovery &amp; Design, Duration: 4 weeks, Timeline: Week 1 (29 June) to Week 4 (24 July 2026)</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will assess current data and reporting capabilities, define investor-centric equity narratives and KPIs, create dashboard mock-ups, and provide a scalable design blueprint to guide the exit reporting solution.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workshops to define equity narratives, reporting requirements, and key business questions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 and assess all available data sources (Finance, CRM, ERP, Qlik Warehouse, and legacy/Excel data) for feasibility and gaps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“Metrics that Matter” KPI framework, including definitions, calculation logic, and prioritisation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dashboard mock-ups aligned with equity narratives and end‑user personas, focusing on intuitive navigation and clarity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current data infrastructure and propose a conceptual data model leveraging Qlik Warehouse, with tooling and automation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detailed Phase 2 implementation roadmap outlining priority use cases, dependencies, risks, and key milestones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By following this phased approach, VONQ will secure the critical design assets necessary to enable a successful, scalable build of investor-grade reporting capabilities. Each activity ensures that the solution is not only technically sound and scalable but also strategically aligned with the M&amp;A process, empowering leadership to communicate the equity narrative with confidence and clarity. This engagement will position VONQ to swiftly progress to technical implementation in Phase 2, minimizing exit timeline risk and maximizing value delivery.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proposed engagement with VONQ is positioned to deliver substantial business value by enabling a structured and investor-ready exit reporting suite. This initiative will drive improved transparency, data credibility, and actionable insights for key stakeholders, thereby supporting a successful M&amp;A sale process and empowering leadership with high-quality, equity narrative-aligned reporting. Success will be measured by the completeness, readiness, and adoption of the suite’s design outputs, ensuring VONQ is strategically prepared for investor scrutiny and transaction execution.</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Validated Exit Reporting Design:</w:t>
      </w:r>
      <w:r>
        <w:rPr>
          <w:rFonts w:ascii="Arial" w:hAnsi="Arial"/>
          <w:b w:val="0"/>
          <w:i w:val="0"/>
          <w:color w:val="1D1C1C"/>
          <w:sz w:val="20"/>
        </w:rPr>
        <w:t xml:space="preserve"> A fully vetted reporting framework and dashboard mock-ups, ready for Phase 2 build and directly supporting the M&amp;A transaction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Investor-Ready KPI Framework:</w:t>
      </w:r>
      <w:r>
        <w:rPr>
          <w:rFonts w:ascii="Arial" w:hAnsi="Arial"/>
          <w:b w:val="0"/>
          <w:i w:val="0"/>
          <w:color w:val="1D1C1C"/>
          <w:sz w:val="20"/>
        </w:rPr>
        <w:t xml:space="preserve"> Clearly defined commercial, financial, and operational KPIs aligned to equity narratives, providing visibility into key metrics for acquirers and investors.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 Gap Identification and Remediation Prioritization:</w:t>
      </w:r>
      <w:r>
        <w:rPr>
          <w:rFonts w:ascii="Arial" w:hAnsi="Arial"/>
          <w:b w:val="0"/>
          <w:i w:val="0"/>
          <w:color w:val="1D1C1C"/>
          <w:sz w:val="20"/>
        </w:rPr>
        <w:t xml:space="preserve"> A comprehensive view of current data gaps across primary and legacy sources, with clear remediation priorities to ensure reporting completeness and credibility.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Leadership Insights for Equity Narratives:</w:t>
      </w:r>
      <w:r>
        <w:rPr>
          <w:rFonts w:ascii="Arial" w:hAnsi="Arial"/>
          <w:b w:val="0"/>
          <w:i w:val="0"/>
          <w:color w:val="1D1C1C"/>
          <w:sz w:val="20"/>
        </w:rPr>
        <w:t xml:space="preserve"> Enhanced capabilities for senior leadership and advisors to communicate robust, data-backed equity narratives, improving stakeholder confidence and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and Automatable Data Infrastructure:</w:t>
      </w:r>
      <w:r>
        <w:rPr>
          <w:rFonts w:ascii="Arial" w:hAnsi="Arial"/>
          <w:b w:val="0"/>
          <w:i w:val="0"/>
          <w:color w:val="1D1C1C"/>
          <w:sz w:val="20"/>
        </w:rPr>
        <w:t xml:space="preserve"> Conceptual data model and roadmap designed for future scalability and ongoing automation, laying the foundation for durable business assets post-transaction.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Reduced Exit Risk:</w:t>
      </w:r>
      <w:r>
        <w:rPr>
          <w:rFonts w:ascii="Arial" w:hAnsi="Arial"/>
          <w:b w:val="0"/>
          <w:i w:val="0"/>
          <w:color w:val="1D1C1C"/>
          <w:sz w:val="20"/>
        </w:rPr>
        <w:t xml:space="preserve"> Minimization of process delays and reputational risk with advisors and buyers by ensuring a credible, data-driven reporting suite is ready on schedule.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Exit Readiness:</w:t>
      </w:r>
      <w:r>
        <w:rPr>
          <w:rFonts w:ascii="Arial" w:hAnsi="Arial"/>
          <w:b w:val="0"/>
          <w:i w:val="0"/>
          <w:color w:val="1D1C1C"/>
          <w:sz w:val="20"/>
        </w:rPr>
        <w:t xml:space="preserve"> The design and delivery of an investor-ready reporting suite enables VONQ to confidently meet the compressed exit timeline, reducing potential transaction delays and safeguarding reputation with advisors and potential acquirers.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and Automation:</w:t>
      </w:r>
      <w:r>
        <w:rPr>
          <w:rFonts w:ascii="Arial" w:hAnsi="Arial"/>
          <w:b w:val="0"/>
          <w:i w:val="0"/>
          <w:color w:val="1D1C1C"/>
          <w:sz w:val="20"/>
        </w:rPr>
        <w:t xml:space="preserve"> By automating data ingestion and dashboard refresh processes from key systems (Finance, CRM, ERP), the solution reduces manual reporting workload for Finance and Analytics teams by up to 50%, freeing internal resources to focus on value-added exit preparation tasks.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Data Credibility and Investor Confidence:</w:t>
      </w:r>
      <w:r>
        <w:rPr>
          <w:rFonts w:ascii="Arial" w:hAnsi="Arial"/>
          <w:b w:val="0"/>
          <w:i w:val="0"/>
          <w:color w:val="1D1C1C"/>
          <w:sz w:val="20"/>
        </w:rPr>
        <w:t xml:space="preserve"> Standardized KPI frameworks and clear equity narratives ensure that all key metrics presented to stakeholders are consistent, reliable, and audit-ready—thereby strengthening VONQ’s positioning in negotiations and supporting higher valuation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Future-Proof Scalability:</w:t>
      </w:r>
      <w:r>
        <w:rPr>
          <w:rFonts w:ascii="Arial" w:hAnsi="Arial"/>
          <w:b w:val="0"/>
          <w:i w:val="0"/>
          <w:color w:val="1D1C1C"/>
          <w:sz w:val="20"/>
        </w:rPr>
        <w:t xml:space="preserve"> The extensible conceptual data model and tooling recommendations ensure that the reporting solution can support additional data sources and increased analytic complexity post-transaction, protecting the initial investment and enabling seamless growth.</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Value Creation:</w:t>
      </w:r>
      <w:r>
        <w:rPr>
          <w:rFonts w:ascii="Arial" w:hAnsi="Arial"/>
          <w:b w:val="0"/>
          <w:i w:val="0"/>
          <w:color w:val="1D1C1C"/>
          <w:sz w:val="20"/>
        </w:rPr>
        <w:t xml:space="preserve"> Leadership, Barclays (advisors), and investors will gain real-time, actionable visibility into commercial and financial performance, directly informing strategic decision making, risk identification, and opportunity sizing throughout and beyond the M&amp;A process.</w:t>
      </w:r>
    </w:p>
    <w:p>
      <w:pPr>
        <w:spacing w:after="80"/>
      </w:pPr>
    </w:p>
    <w:p>
      <w:pPr>
        <w:spacing w:after="160" w:line="276" w:lineRule="auto"/>
      </w:pPr>
      <w:r>
        <w:rPr>
          <w:rFonts w:ascii="Arial" w:hAnsi="Arial"/>
          <w:b w:val="0"/>
          <w:i w:val="0"/>
          <w:color w:val="1D1C1C"/>
          <w:sz w:val="20"/>
        </w:rPr>
        <w:t>The accelerated implementation of a scalable and automated exit reporting suite for VONQ will drive measurable operational efficiencies, reduce time-to-value for leadership and advisors, and minimize transaction risks. These outcomes ensure a robust, future-ready data foundation that enhances stakeholder trust and optimizes VONQ’s positioning for a successful exit or sale.</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