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1" name="Cover Background"/>
            <a:graphic xmlns:a="http://schemas.openxmlformats.org/drawingml/2006/main" xmlns:pic="http://schemas.openxmlformats.org/drawingml/2006/picture">
              <a:graphicData uri="http://schemas.openxmlformats.org/drawingml/2006/picture">
                <pic:pic>
                  <pic:nvPicPr>
                    <pic:cNvPr id="0" name="cover_background.jpg"/>
                    <pic:cNvPicPr/>
                  </pic:nvPicPr>
                  <pic:blipFill>
                    <a:blip r:embed="rId9"/>
                    <a:stretch>
                      <a:fillRect/>
                    </a:stretch>
                  </pic:blipFill>
                  <pic:spPr>
                    <a:xfrm>
                      <a:off x="0" y="0"/>
                      <a:ext cx="7560000" cy="10692000"/>
                    </a:xfrm>
                    <a:prstGeom prst="rect"/>
                  </pic:spPr>
                </pic:pic>
              </a:graphicData>
            </a:graphic>
          </wp:anchor>
        </w:drawing>
      </w:r>
    </w:p>
    <w:p>
      <w:pPr>
        <w:spacing w:after="0"/>
        <w:jc w:val="right"/>
      </w:pPr>
      <w:r>
        <w:drawing>
          <wp:inline xmlns:a="http://schemas.openxmlformats.org/drawingml/2006/main" xmlns:pic="http://schemas.openxmlformats.org/drawingml/2006/picture">
            <wp:extent cx="2880000" cy="2880000"/>
            <wp:docPr id="2" name="Picture 2"/>
            <wp:cNvGraphicFramePr>
              <a:graphicFrameLocks noChangeAspect="1"/>
            </wp:cNvGraphicFramePr>
            <a:graphic>
              <a:graphicData uri="http://schemas.openxmlformats.org/drawingml/2006/picture">
                <pic:pic>
                  <pic:nvPicPr>
                    <pic:cNvPr id="0" name="jman_logo_white.png"/>
                    <pic:cNvPicPr/>
                  </pic:nvPicPr>
                  <pic:blipFill>
                    <a:blip r:embed="rId10"/>
                    <a:stretch>
                      <a:fillRect/>
                    </a:stretch>
                  </pic:blipFill>
                  <pic:spPr>
                    <a:xfrm>
                      <a:off x="0" y="0"/>
                      <a:ext cx="2880000" cy="2880000"/>
                    </a:xfrm>
                    <a:prstGeom prst="rect"/>
                  </pic:spPr>
                </pic:pic>
              </a:graphicData>
            </a:graphic>
          </wp:inline>
        </w:drawing>
      </w:r>
    </w:p>
    <w:p>
      <w:pPr>
        <w:spacing w:after="4200"/>
      </w:pPr>
    </w:p>
    <w:p>
      <w:pPr>
        <w:pBdr>
          <w:bottom w:val="single" w:sz="4" w:space="4" w:color="FFFFFF"/>
        </w:pBdr>
        <w:spacing w:after="240"/>
      </w:pPr>
    </w:p>
    <w:p>
      <w:pPr>
        <w:spacing w:after="280"/>
      </w:pPr>
      <w:r>
        <w:rPr>
          <w:rFonts w:ascii="Arial" w:hAnsi="Arial"/>
          <w:b/>
          <w:i w:val="0"/>
          <w:color w:val="FF6196"/>
          <w:sz w:val="30"/>
        </w:rPr>
        <w:t>STATEMENT OF WORK BETWEEN</w:t>
      </w:r>
    </w:p>
    <w:p>
      <w:pPr>
        <w:spacing w:after="120"/>
      </w:pPr>
      <w:r>
        <w:rPr>
          <w:rFonts w:ascii="Arial" w:hAnsi="Arial"/>
          <w:b/>
          <w:i w:val="0"/>
          <w:color w:val="173845"/>
          <w:sz w:val="60"/>
        </w:rPr>
        <w:t>Client</w:t>
      </w:r>
    </w:p>
    <w:p>
      <w:pPr>
        <w:spacing w:after="120"/>
      </w:pPr>
      <w:r>
        <w:rPr>
          <w:rFonts w:ascii="Arial" w:hAnsi="Arial"/>
          <w:b w:val="0"/>
          <w:i/>
          <w:color w:val="808080"/>
          <w:sz w:val="32"/>
        </w:rPr>
        <w:t>And</w:t>
      </w:r>
    </w:p>
    <w:p>
      <w:pPr>
        <w:spacing w:after="0"/>
      </w:pPr>
      <w:r>
        <w:rPr>
          <w:rFonts w:ascii="Arial" w:hAnsi="Arial"/>
          <w:b/>
          <w:i w:val="0"/>
          <w:color w:val="173845"/>
          <w:sz w:val="60"/>
        </w:rPr>
        <w:t>JMAN Group</w:t>
      </w:r>
    </w:p>
    <w:p>
      <w:pPr>
        <w:sectPr>
          <w:pgSz w:w="11906" w:h="16838"/>
          <w:pgMar w:top="567" w:right="992" w:bottom="567" w:left="992" w:header="720" w:footer="720" w:gutter="0"/>
          <w:cols w:space="720"/>
          <w:docGrid w:linePitch="360"/>
        </w:sectPr>
      </w:pPr>
    </w:p>
    <w:p>
      <w:pPr>
        <w:tabs>
          <w:tab w:pos="578" w:val="left"/>
        </w:tabs>
        <w:spacing w:before="280" w:after="160"/>
        <w:ind w:left="578" w:hanging="578"/>
      </w:pPr>
      <w:r>
        <w:rPr>
          <w:rFonts w:ascii="Arial" w:hAnsi="Arial"/>
          <w:b/>
          <w:i w:val="0"/>
          <w:color w:val="19105B"/>
          <w:sz w:val="24"/>
        </w:rPr>
        <w:t>1</w:t>
        <w:tab/>
      </w:r>
      <w:r>
        <w:rPr>
          <w:rFonts w:ascii="Arial" w:hAnsi="Arial"/>
          <w:b/>
          <w:i w:val="0"/>
          <w:color w:val="19105B"/>
          <w:sz w:val="24"/>
        </w:rPr>
        <w:t>Business Context</w:t>
      </w:r>
    </w:p>
    <w:p>
      <w:pPr>
        <w:spacing w:after="80"/>
      </w:pPr>
    </w:p>
    <w:p>
      <w:pPr>
        <w:spacing w:after="160" w:line="276" w:lineRule="auto"/>
      </w:pPr>
      <w:r>
        <w:rPr>
          <w:rFonts w:ascii="Arial" w:hAnsi="Arial"/>
          <w:b w:val="0"/>
          <w:i w:val="0"/>
          <w:color w:val="1D1C1C"/>
          <w:sz w:val="20"/>
        </w:rPr>
        <w:t>VONQ is a leading provider in the mid-market recruitment SaaS sector, offering a robust recruitment software-as-a-service platform to business clients. The company operates a B2B SaaS model, with a range of stakeholders engaged in its day-to-day and strategic initiatives, including its Client Engagement Manager, Paul Goodstadt (Service Provider Engagement Manager), and Barclays, who serve as the client’s advisors.</w:t>
      </w:r>
    </w:p>
    <w:p>
      <w:pPr>
        <w:spacing w:after="80"/>
      </w:pPr>
    </w:p>
    <w:p>
      <w:pPr>
        <w:spacing w:after="160" w:line="276" w:lineRule="auto"/>
      </w:pPr>
      <w:r>
        <w:rPr>
          <w:rFonts w:ascii="Arial" w:hAnsi="Arial"/>
          <w:b w:val="0"/>
          <w:i w:val="0"/>
          <w:color w:val="1D1C1C"/>
          <w:sz w:val="20"/>
        </w:rPr>
        <w:t>VONQ is preparing for a near-term exit and sale process, necessitating the rapid development of a scalable exit reporting suite. Currently, the business relies on a Qlik-based reporting platform integrated with its Finance System, CRM, and ERP, supplemented by Excel datasets. However, investor-ready reporting remains a significant gap, with challenges including incomplete automation of data feeds from some legacy sources and the inability of the existing Qlik Warehouse to support all KPIs required for the equity narrative central to the sale process.</w:t>
      </w:r>
    </w:p>
    <w:p>
      <w:pPr>
        <w:spacing w:after="80"/>
      </w:pPr>
    </w:p>
    <w:p>
      <w:pPr>
        <w:spacing w:after="160" w:line="276" w:lineRule="auto"/>
      </w:pPr>
      <w:r>
        <w:rPr>
          <w:rFonts w:ascii="Arial" w:hAnsi="Arial"/>
          <w:b w:val="0"/>
          <w:i w:val="0"/>
          <w:color w:val="1D1C1C"/>
          <w:sz w:val="20"/>
        </w:rPr>
        <w:t>The strategic priority of this initiative is to produce a discovery and design blueprint—delivered within a four-week window—that will underpin investor communications and stakeholder management throughout the transaction. Deliverables include equity narrative definition, a prioritised KPI framework, dashboards mock-ups, a data feasibility assessment, a conceptual data model, tooling recommendations, and an implementation roadmap. The ultimate objective is to ensure VONQ is equipped with a validated reporting foundation that supports a credible equity story, mitigates transaction risks, and enables automation and scalability post-transaction.</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2</w:t>
        <w:tab/>
      </w:r>
      <w:r>
        <w:rPr>
          <w:rFonts w:ascii="Arial" w:hAnsi="Arial"/>
          <w:b/>
          <w:i w:val="0"/>
          <w:color w:val="19105B"/>
          <w:sz w:val="24"/>
        </w:rPr>
        <w:t>Overview</w:t>
      </w:r>
    </w:p>
    <w:p>
      <w:pPr>
        <w:spacing w:after="80"/>
      </w:pPr>
    </w:p>
    <w:p>
      <w:pPr>
        <w:spacing w:after="160" w:line="276" w:lineRule="auto"/>
      </w:pPr>
      <w:r>
        <w:rPr>
          <w:rFonts w:ascii="Arial" w:hAnsi="Arial"/>
          <w:b w:val="0"/>
          <w:i w:val="0"/>
          <w:color w:val="1D1C1C"/>
          <w:sz w:val="20"/>
        </w:rPr>
        <w:t>VONQ’s current operations involve multiple teams supporting the preparation for an exit process, including finance, commercial/CRM, data/analytics, and senior leadership. These teams are actively engaged in the production and management of investor and transaction reporting.</w:t>
      </w:r>
    </w:p>
    <w:p>
      <w:pPr>
        <w:spacing w:after="80"/>
      </w:pPr>
    </w:p>
    <w:p>
      <w:pPr>
        <w:spacing w:after="160" w:line="276" w:lineRule="auto"/>
      </w:pPr>
      <w:r>
        <w:rPr>
          <w:rFonts w:ascii="Arial" w:hAnsi="Arial"/>
          <w:b w:val="0"/>
          <w:i w:val="0"/>
          <w:color w:val="1D1C1C"/>
          <w:sz w:val="20"/>
        </w:rPr>
        <w:t>VONQ utilizes a variety of systems and platforms, with its Finance System, CRM, ERP, and the Qlik Warehouse serving as core data and reporting infrastructure. The existing reporting environment is primarily Qlik-based, leveraging the Qlik Warehouse for data storage and analytics. Primary data sources feeding into the reporting suite include Finance, CRM, and ERP systems, while legacy sources may also be leveraged to ensure coverage of at least three years of trended data. Additional Excel-based datasets and external systems are considered for inclusion pending feasibility and mutual agreement.</w:t>
      </w:r>
    </w:p>
    <w:p>
      <w:pPr>
        <w:spacing w:after="80"/>
      </w:pPr>
    </w:p>
    <w:p>
      <w:pPr>
        <w:spacing w:after="160" w:line="276" w:lineRule="auto"/>
      </w:pPr>
      <w:r>
        <w:rPr>
          <w:rFonts w:ascii="Arial" w:hAnsi="Arial"/>
          <w:b w:val="0"/>
          <w:i w:val="0"/>
          <w:color w:val="1D1C1C"/>
          <w:sz w:val="20"/>
        </w:rPr>
        <w:t>Integration challenges are present, as not all source systems have automated connections to the Qlik Warehouse. Where automation is not possible, one-off manual ingestion is required. For ongoing transactional reporting needs, a recurring refresh process is established for relevant sources. The Qlik Warehouse functions as the primary platform infrastructure underpinning current analytics and reporting activities.</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3</w:t>
        <w:tab/>
      </w:r>
      <w:r>
        <w:rPr>
          <w:rFonts w:ascii="Arial" w:hAnsi="Arial"/>
          <w:b/>
          <w:i w:val="0"/>
          <w:color w:val="19105B"/>
          <w:sz w:val="24"/>
        </w:rPr>
        <w:t>Understanding</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VONQ needs a scalable exit reporting suite—including a refreshable data cube, dashboards, and supporting documentation—to support its upcoming M&amp;A sale process and associated investor communications.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There is currently a lack of investor-ready reporting, creating risk in presenting a credible, data-backed equity narrative to potential acquirers and advisors.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Data gaps exist across source systems, and the Qlik Warehouse may not fully support all KPIs required for stakeholder alignment during the exit.</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Manual or one-off data ingestion is required for some source systems, as not all have automated integration with the Qlik Warehouse; recurring data refresh will be necessary during the transaction.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Required capabilities include equity narrative definition, a prioritised KPI framework, dashboard mock-ups, data feasibility assessment, conceptual data model design, tooling recommendations, and a phased implementation roadmap.</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Automations are needed for data ingestion and refresh pipelines from Finance, CRM, and ERP source systems into the Qlik Warehouse.</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Mandatory integrations must connect the Finance System, CRM, ERP, and legacy data sources (for at least three years of trended data) with the Qlik Warehouse.</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The primary users of the exit reporting suite are senior leadership, exit advisors (Barclays), and potential acquirers/investors.</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4</w:t>
        <w:tab/>
      </w:r>
      <w:r>
        <w:rPr>
          <w:rFonts w:ascii="Arial" w:hAnsi="Arial"/>
          <w:b/>
          <w:i w:val="0"/>
          <w:color w:val="19105B"/>
          <w:sz w:val="24"/>
        </w:rPr>
        <w:t>Objectives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Establish a fully designed exit reporting suite supporting clear equity narratives, aligned KPI frameworks, and conceptual data models.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Automate refreshable data ingestion pipelines from Finance, CRM, and ERP systems, ensuring recurring updates for transaction reporting.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 intuitive dashboards with standardized KPI definitions, calculation logic, and navigation structure to enhance user experience for leadership, advisors, and potential investors.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Provide investor-grade visibility into key commercial, financial, and operational metrics that underpin the sale process and equity narrative.</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Enable scalable data model and reporting architecture extensible to additional data sources and adaptable for ongoing refresh beyond the transaction.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Position solution outputs as lasting business assets with technology choices facilitating future automation and post-transaction scalability.</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5</w:t>
        <w:tab/>
      </w:r>
      <w:r>
        <w:rPr>
          <w:rFonts w:ascii="Arial" w:hAnsi="Arial"/>
          <w:b/>
          <w:i w:val="0"/>
          <w:color w:val="19105B"/>
          <w:sz w:val="24"/>
        </w:rPr>
        <w:t>Deliverables</w:t>
      </w:r>
    </w:p>
    <w:p>
      <w:pPr>
        <w:spacing w:after="80"/>
      </w:pPr>
    </w:p>
    <w:p>
      <w:pPr>
        <w:spacing w:after="160" w:line="276" w:lineRule="auto"/>
      </w:pPr>
      <w:r>
        <w:rPr>
          <w:rFonts w:ascii="Arial" w:hAnsi="Arial"/>
          <w:b w:val="0"/>
          <w:i w:val="0"/>
          <w:color w:val="1D1C1C"/>
          <w:sz w:val="20"/>
        </w:rPr>
        <w:t>Throughout the engagement with VONQ, the following key deliverables and artifacts will be provided to ensure a comprehensive and actionable outcome aligned with the project objectives:</w:t>
      </w:r>
    </w:p>
    <w:p>
      <w:pPr>
        <w:spacing w:after="80"/>
      </w:pPr>
    </w:p>
    <w:p>
      <w:pPr>
        <w:spacing w:after="160" w:line="276" w:lineRule="auto"/>
      </w:pPr>
      <w:r>
        <w:rPr>
          <w:rFonts w:ascii="Arial" w:hAnsi="Arial"/>
          <w:b w:val="0"/>
          <w:i w:val="0"/>
          <w:color w:val="1D1C1C"/>
          <w:sz w:val="20"/>
        </w:rPr>
        <w:t xml:space="preserve">1. </w:t>
      </w:r>
      <w:r>
        <w:rPr>
          <w:rFonts w:ascii="Arial" w:hAnsi="Arial"/>
          <w:b/>
          <w:i w:val="0"/>
          <w:color w:val="1D1C1C"/>
          <w:sz w:val="20"/>
        </w:rPr>
        <w:t>Equity Narratives Definition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Documentation of investor-aligned equity stories tailored to support the exit process and underpin stakeholder communications.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Enumeration of key business themes, differentiators, and value drivers relevant for potential acquirers.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Delivered as a written report and validated through a stakeholder workshop.</w:t>
      </w:r>
    </w:p>
    <w:p>
      <w:pPr>
        <w:spacing w:after="80"/>
      </w:pPr>
    </w:p>
    <w:p>
      <w:pPr>
        <w:spacing w:after="160" w:line="276" w:lineRule="auto"/>
      </w:pPr>
      <w:r>
        <w:rPr>
          <w:rFonts w:ascii="Arial" w:hAnsi="Arial"/>
          <w:b w:val="0"/>
          <w:i w:val="0"/>
          <w:color w:val="1D1C1C"/>
          <w:sz w:val="20"/>
        </w:rPr>
        <w:t xml:space="preserve">2. </w:t>
      </w:r>
      <w:r>
        <w:rPr>
          <w:rFonts w:ascii="Arial" w:hAnsi="Arial"/>
          <w:b/>
          <w:i w:val="0"/>
          <w:color w:val="1D1C1C"/>
          <w:sz w:val="20"/>
        </w:rPr>
        <w:t>Metrics that Matter KPI Framework</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Catalogue of prioritized KPIs spanning commercial, financial, and operational performance, with working definitions.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KPI calculation logic, data source mapping, and any data transformation requirements.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Delivered as a structured reference document and KPI matrix, refined in collaboration with business owners.</w:t>
      </w:r>
    </w:p>
    <w:p>
      <w:pPr>
        <w:spacing w:after="80"/>
      </w:pPr>
    </w:p>
    <w:p>
      <w:pPr>
        <w:spacing w:after="160" w:line="276" w:lineRule="auto"/>
      </w:pPr>
      <w:r>
        <w:rPr>
          <w:rFonts w:ascii="Arial" w:hAnsi="Arial"/>
          <w:b w:val="0"/>
          <w:i w:val="0"/>
          <w:color w:val="1D1C1C"/>
          <w:sz w:val="20"/>
        </w:rPr>
        <w:t xml:space="preserve">3. </w:t>
      </w:r>
      <w:r>
        <w:rPr>
          <w:rFonts w:ascii="Arial" w:hAnsi="Arial"/>
          <w:b/>
          <w:i w:val="0"/>
          <w:color w:val="1D1C1C"/>
          <w:sz w:val="20"/>
        </w:rPr>
        <w:t>Dashboard Mock-ups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Static visual concepts illustrating the proposed metrics, dashboard layout, and navigation paths.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Annotation of key features, user roles, and intended reporting views.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Delivered as PDF/PowerPoint mock-ups and presented during review sessions for stakeholder feedback.</w:t>
      </w:r>
    </w:p>
    <w:p>
      <w:pPr>
        <w:spacing w:after="80"/>
      </w:pPr>
    </w:p>
    <w:p>
      <w:pPr>
        <w:spacing w:after="160" w:line="276" w:lineRule="auto"/>
      </w:pPr>
      <w:r>
        <w:rPr>
          <w:rFonts w:ascii="Arial" w:hAnsi="Arial"/>
          <w:b w:val="0"/>
          <w:i w:val="0"/>
          <w:color w:val="1D1C1C"/>
          <w:sz w:val="20"/>
        </w:rPr>
        <w:t xml:space="preserve">4. </w:t>
      </w:r>
      <w:r>
        <w:rPr>
          <w:rFonts w:ascii="Arial" w:hAnsi="Arial"/>
          <w:b/>
          <w:i w:val="0"/>
          <w:color w:val="1D1C1C"/>
          <w:sz w:val="20"/>
        </w:rPr>
        <w:t>Data Feasibility Assessment</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Current-state findings summarizing data quality, accessibility, and identified gaps across Finance, CRM, ERP, and Qlik Warehouse sources.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Identification and prioritization of remediation needs and interim data collection requirements.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Delivered as a diagnostic slide deck and summary memo.</w:t>
      </w:r>
    </w:p>
    <w:p>
      <w:pPr>
        <w:spacing w:after="80"/>
      </w:pPr>
    </w:p>
    <w:p>
      <w:pPr>
        <w:spacing w:after="160" w:line="276" w:lineRule="auto"/>
      </w:pPr>
      <w:r>
        <w:rPr>
          <w:rFonts w:ascii="Arial" w:hAnsi="Arial"/>
          <w:b w:val="0"/>
          <w:i w:val="0"/>
          <w:color w:val="1D1C1C"/>
          <w:sz w:val="20"/>
        </w:rPr>
        <w:t xml:space="preserve">5. </w:t>
      </w:r>
      <w:r>
        <w:rPr>
          <w:rFonts w:ascii="Arial" w:hAnsi="Arial"/>
          <w:b/>
          <w:i w:val="0"/>
          <w:color w:val="1D1C1C"/>
          <w:sz w:val="20"/>
        </w:rPr>
        <w:t>Conceptual Data Model Design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High-level schema mapping key data entities, relationships, and source system linkages, with scalability considerations highlighted.</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Recommendations for extensibility and future automation.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Delivered as a visual model (e.g., ER diagram) with supporting documentation.</w:t>
      </w:r>
    </w:p>
    <w:p>
      <w:pPr>
        <w:spacing w:after="80"/>
      </w:pPr>
    </w:p>
    <w:p>
      <w:pPr>
        <w:spacing w:after="160" w:line="276" w:lineRule="auto"/>
      </w:pPr>
      <w:r>
        <w:rPr>
          <w:rFonts w:ascii="Arial" w:hAnsi="Arial"/>
          <w:b w:val="0"/>
          <w:i w:val="0"/>
          <w:color w:val="1D1C1C"/>
          <w:sz w:val="20"/>
        </w:rPr>
        <w:t xml:space="preserve">6. </w:t>
      </w:r>
      <w:r>
        <w:rPr>
          <w:rFonts w:ascii="Arial" w:hAnsi="Arial"/>
          <w:b/>
          <w:i w:val="0"/>
          <w:color w:val="1D1C1C"/>
          <w:sz w:val="20"/>
        </w:rPr>
        <w:t>Data Infrastructure and Tooling Recommendations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Comparative analysis of current vs. alternative reporting toolsets, outlining options, pros, and cons specific to VONQ’s needs.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Proposed technical enhancements addressing batch data ingestion, recurring refreshes, and system integration challenges.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Delivered as a recommendation brief with decision-making criteria and phased roadmap alignment.</w:t>
      </w:r>
    </w:p>
    <w:p>
      <w:pPr>
        <w:spacing w:after="80"/>
      </w:pPr>
    </w:p>
    <w:p>
      <w:pPr>
        <w:spacing w:after="160" w:line="276" w:lineRule="auto"/>
      </w:pPr>
      <w:r>
        <w:rPr>
          <w:rFonts w:ascii="Arial" w:hAnsi="Arial"/>
          <w:b w:val="0"/>
          <w:i w:val="0"/>
          <w:color w:val="1D1C1C"/>
          <w:sz w:val="20"/>
        </w:rPr>
        <w:t xml:space="preserve">7. </w:t>
      </w:r>
      <w:r>
        <w:rPr>
          <w:rFonts w:ascii="Arial" w:hAnsi="Arial"/>
          <w:b/>
          <w:i w:val="0"/>
          <w:color w:val="1D1C1C"/>
          <w:sz w:val="20"/>
        </w:rPr>
        <w:t>Implementation Roadmap for Phase 2</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Detailed, phased plan covering priority use cases, critical dependencies, project risks, and key milestones.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Timeline visualization with roles, responsibilities, and transition-ready artefact handover points.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Delivered as a comprehensive Gantt chart and narrative plan.</w:t>
      </w:r>
    </w:p>
    <w:p>
      <w:pPr>
        <w:spacing w:after="80"/>
      </w:pPr>
    </w:p>
    <w:p>
      <w:pPr>
        <w:spacing w:after="160" w:line="276" w:lineRule="auto"/>
      </w:pPr>
      <w:r>
        <w:rPr>
          <w:rFonts w:ascii="Arial" w:hAnsi="Arial"/>
          <w:b w:val="0"/>
          <w:i w:val="0"/>
          <w:color w:val="1D1C1C"/>
          <w:sz w:val="20"/>
        </w:rPr>
        <w:t>Each deliverable will be iteratively reviewed with VONQ's leadership and technical teams to ensure alignment with business goals and to incorporate feedback promptly. This structured approach guarantees transparency, accountability, and measurable value throughout the engagement lifecycle.</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6</w:t>
        <w:tab/>
      </w:r>
      <w:r>
        <w:rPr>
          <w:rFonts w:ascii="Arial" w:hAnsi="Arial"/>
          <w:b/>
          <w:i w:val="0"/>
          <w:color w:val="19105B"/>
          <w:sz w:val="24"/>
        </w:rPr>
        <w:t>Approach</w:t>
      </w:r>
    </w:p>
    <w:p>
      <w:pPr>
        <w:spacing w:after="80"/>
      </w:pPr>
    </w:p>
    <w:p>
      <w:pPr>
        <w:spacing w:after="160" w:line="276" w:lineRule="auto"/>
      </w:pPr>
      <w:r>
        <w:rPr>
          <w:rFonts w:ascii="Arial" w:hAnsi="Arial"/>
          <w:b w:val="0"/>
          <w:i w:val="0"/>
          <w:color w:val="1D1C1C"/>
          <w:sz w:val="20"/>
        </w:rPr>
        <w:t>This engagement with VONQ is designed to rapidly deliver a comprehensive exit reporting suite to support its near-term sale process. Our methodology is rooted in structured discovery, stakeholder collaboration, and best-practice design principles to ensure deliverables are investor-ready and aligned to the equity narrative requirements of the transaction. All activities will be closely coordinated with business and technical stakeholders across Finance, Commercial/CRM, Analytics, and Senior Leadership to define the foundations for successful reporting and data automation.</w:t>
      </w:r>
    </w:p>
    <w:p>
      <w:pPr>
        <w:spacing w:after="80"/>
      </w:pPr>
    </w:p>
    <w:p>
      <w:pPr>
        <w:spacing w:after="160" w:line="276" w:lineRule="auto"/>
      </w:pPr>
      <w:r>
        <w:rPr>
          <w:rFonts w:ascii="Arial" w:hAnsi="Arial"/>
          <w:b w:val="0"/>
          <w:i w:val="0"/>
          <w:color w:val="1D1C1C"/>
          <w:sz w:val="20"/>
        </w:rPr>
        <w:t>We will operate in a focused Discovery and Design phase, leveraging workshops, data assessments, and iterative playback of findings and concepts. Attention will be paid to the current-state Qlik Warehouse, integration feasibility with Finance, CRM, and ERP systems, and definition of scalable frameworks and models. The resulting design artefacts will directly inform the detailed scope, sequencing, and dependencies for subsequent implementation—ensuring VONQ is positioned to proceed confidently to build and automation activities upon Phase 1 completion.</w:t>
      </w:r>
    </w:p>
    <w:p>
      <w:pPr>
        <w:spacing w:after="80"/>
      </w:pPr>
    </w:p>
    <w:p>
      <w:pPr>
        <w:spacing w:after="160" w:line="276" w:lineRule="auto"/>
      </w:pPr>
      <w:r>
        <w:rPr>
          <w:rFonts w:ascii="Arial" w:hAnsi="Arial"/>
          <w:b w:val="0"/>
          <w:i w:val="0"/>
          <w:color w:val="1D1C1C"/>
          <w:sz w:val="20"/>
        </w:rPr>
        <w:t>---</w:t>
      </w:r>
    </w:p>
    <w:p>
      <w:pPr>
        <w:spacing w:after="80"/>
      </w:pPr>
    </w:p>
    <w:p>
      <w:pPr>
        <w:spacing w:after="160" w:line="276" w:lineRule="auto"/>
      </w:pPr>
      <w:r>
        <w:rPr>
          <w:rFonts w:ascii="Arial" w:hAnsi="Arial"/>
          <w:b/>
          <w:i w:val="0"/>
          <w:color w:val="1D1C1C"/>
          <w:sz w:val="20"/>
        </w:rPr>
        <w:t>Phase 1: Discovery &amp; Design, Duration: 4 weeks, Timeline: Week 1 (29 June 2026) to Week 4 (24 July 2026)</w:t>
      </w:r>
    </w:p>
    <w:p>
      <w:pPr>
        <w:spacing w:after="160" w:line="276" w:lineRule="auto"/>
      </w:pPr>
      <w:r>
        <w:rPr>
          <w:rFonts w:ascii="Arial" w:hAnsi="Arial"/>
          <w:b/>
          <w:i w:val="0"/>
          <w:color w:val="1D1C1C"/>
          <w:sz w:val="20"/>
        </w:rPr>
        <w:t>Summary:</w:t>
      </w:r>
      <w:r>
        <w:rPr>
          <w:rFonts w:ascii="Arial" w:hAnsi="Arial"/>
          <w:b w:val="0"/>
          <w:i w:val="0"/>
          <w:color w:val="1D1C1C"/>
          <w:sz w:val="20"/>
        </w:rPr>
        <w:t xml:space="preserve"> A four-week engagement to define reporting requirements, assess data readiness, develop key design artefacts, and shape the implementation roadmap needed for the exit process.</w:t>
      </w:r>
    </w:p>
    <w:p>
      <w:pPr>
        <w:spacing w:after="80"/>
      </w:pPr>
    </w:p>
    <w:p>
      <w:pPr>
        <w:spacing w:after="160" w:line="276" w:lineRule="auto"/>
      </w:pPr>
      <w:r>
        <w:rPr>
          <w:rFonts w:ascii="Arial" w:hAnsi="Arial"/>
          <w:b/>
          <w:i w:val="0"/>
          <w:color w:val="1D1C1C"/>
          <w:sz w:val="20"/>
        </w:rPr>
        <w:t>Activities: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Facilitate stakeholder workshops to define priority equity narratives and “Metrics that Matter” KPI framework.</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Assess current-state Qlik Warehouse and data sources (Finance, CRM, ERP, legacy) for feasibility, quality, and coverage against reporting needs.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Develop static dashboard mock-ups illustrating KPI views, layout, and navigation aligned to investor requirements.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Produce a conceptual data model design to support the suite, identifying integration and automation options for each source.</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Document tooling recommendations (with trade-offs) and draft a phased implementation roadmap, highlighting dependencies, risks, and key milestones.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Conduct ongoing playback sessions to validate findings and adapt design artefacts with stakeholder feedback.</w:t>
      </w:r>
    </w:p>
    <w:p>
      <w:pPr>
        <w:spacing w:after="80"/>
      </w:pPr>
    </w:p>
    <w:p>
      <w:pPr>
        <w:spacing w:after="160" w:line="276" w:lineRule="auto"/>
      </w:pPr>
      <w:r>
        <w:rPr>
          <w:rFonts w:ascii="Arial" w:hAnsi="Arial"/>
          <w:b w:val="0"/>
          <w:i w:val="0"/>
          <w:color w:val="1D1C1C"/>
          <w:sz w:val="20"/>
        </w:rPr>
        <w:t>---</w:t>
      </w:r>
    </w:p>
    <w:p>
      <w:pPr>
        <w:spacing w:after="80"/>
      </w:pPr>
    </w:p>
    <w:p>
      <w:pPr>
        <w:spacing w:after="160" w:line="276" w:lineRule="auto"/>
      </w:pPr>
      <w:r>
        <w:rPr>
          <w:rFonts w:ascii="Arial" w:hAnsi="Arial"/>
          <w:b w:val="0"/>
          <w:i w:val="0"/>
          <w:color w:val="1D1C1C"/>
          <w:sz w:val="20"/>
        </w:rPr>
        <w:t>The phased approach ensures VONQ receives actionable, investor-ready design artefacts within the tight exit timeline, mitigating risks associated with data gaps and unclear requirements. By systematically addressing requirements definition, feasibility, and roadmaping, we lay a robust foundation for Phase 2 implementation, ensuring all activities are strategically sequenced to maximize speed, quality, and long-term business value.</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7</w:t>
        <w:tab/>
      </w:r>
      <w:r>
        <w:rPr>
          <w:rFonts w:ascii="Arial" w:hAnsi="Arial"/>
          <w:b/>
          <w:i w:val="0"/>
          <w:color w:val="19105B"/>
          <w:sz w:val="24"/>
        </w:rPr>
        <w:t>Outcomes</w:t>
      </w:r>
    </w:p>
    <w:p>
      <w:pPr>
        <w:spacing w:after="80"/>
      </w:pPr>
    </w:p>
    <w:p>
      <w:pPr>
        <w:spacing w:after="160" w:line="276" w:lineRule="auto"/>
      </w:pPr>
      <w:r>
        <w:rPr>
          <w:rFonts w:ascii="Arial" w:hAnsi="Arial"/>
          <w:b w:val="0"/>
          <w:i w:val="0"/>
          <w:color w:val="1D1C1C"/>
          <w:sz w:val="20"/>
        </w:rPr>
        <w:t>This engagement will position VONQ for a successful exit by delivering an investor-grade reporting suite that supports clear, data-driven equity narratives. By establishing robust KPI frameworks, actionable dashboards, and scalable data models, VONQ will be able to provide credible insights to stakeholders, mitigate transactional risks, and streamline exit timeline delivery.</w:t>
      </w:r>
    </w:p>
    <w:p>
      <w:pPr>
        <w:spacing w:after="80"/>
      </w:pPr>
    </w:p>
    <w:p>
      <w:pPr>
        <w:spacing w:before="200" w:after="80"/>
      </w:pPr>
      <w:r>
        <w:rPr>
          <w:rFonts w:ascii="Arial" w:hAnsi="Arial"/>
          <w:b/>
          <w:i w:val="0"/>
          <w:color w:val="FF6196"/>
          <w:sz w:val="22"/>
        </w:rPr>
        <w:t>Expected Business Outcomes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Investor-Ready Reporting Suite:</w:t>
      </w:r>
      <w:r>
        <w:rPr>
          <w:rFonts w:ascii="Arial" w:hAnsi="Arial"/>
          <w:b w:val="0"/>
          <w:i w:val="0"/>
          <w:color w:val="1D1C1C"/>
          <w:sz w:val="20"/>
        </w:rPr>
        <w:t xml:space="preserve"> Delivery of validated dashboard mock-ups and a comprehensive KPI framework aligned with equity narratives, ensuring VONQ can confidently present strengths and value to potential acquirers and advisors.</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Clear Data Gap Visibility:</w:t>
      </w:r>
      <w:r>
        <w:rPr>
          <w:rFonts w:ascii="Arial" w:hAnsi="Arial"/>
          <w:b w:val="0"/>
          <w:i w:val="0"/>
          <w:color w:val="1D1C1C"/>
          <w:sz w:val="20"/>
        </w:rPr>
        <w:t xml:space="preserve"> Identification and prioritization of current data gaps, empowering leadership to remediate critical issues before transaction due diligence, thus reducing risk of delays and reputational exposure.</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Standardized KPI Framework:</w:t>
      </w:r>
      <w:r>
        <w:rPr>
          <w:rFonts w:ascii="Arial" w:hAnsi="Arial"/>
          <w:b w:val="0"/>
          <w:i w:val="0"/>
          <w:color w:val="1D1C1C"/>
          <w:sz w:val="20"/>
        </w:rPr>
        <w:t xml:space="preserve"> Introduction of clear, investor-relevant metric definitions and calculation logic, enabling consistent and transparent reporting across commercial, financial, and operational domains.</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Scalable Data Model Foundation:</w:t>
      </w:r>
      <w:r>
        <w:rPr>
          <w:rFonts w:ascii="Arial" w:hAnsi="Arial"/>
          <w:b w:val="0"/>
          <w:i w:val="0"/>
          <w:color w:val="1D1C1C"/>
          <w:sz w:val="20"/>
        </w:rPr>
        <w:t xml:space="preserve"> Creation of a conceptual data model and extensible reporting architecture, ensuring readiness for integration of future data sources and seamless post-transaction scalability.</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Improved Stakeholder Decision-Making:</w:t>
      </w:r>
      <w:r>
        <w:rPr>
          <w:rFonts w:ascii="Arial" w:hAnsi="Arial"/>
          <w:b w:val="0"/>
          <w:i w:val="0"/>
          <w:color w:val="1D1C1C"/>
          <w:sz w:val="20"/>
        </w:rPr>
        <w:t xml:space="preserve"> Enhanced ability for senior leadership, advisors, and potential buyers to access accurate, investor-grade insights that underpin decision-making and streamline communication throughout the exit process.</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Phase 2 Implementation Readiness:</w:t>
      </w:r>
      <w:r>
        <w:rPr>
          <w:rFonts w:ascii="Arial" w:hAnsi="Arial"/>
          <w:b w:val="0"/>
          <w:i w:val="0"/>
          <w:color w:val="1D1C1C"/>
          <w:sz w:val="20"/>
        </w:rPr>
        <w:t xml:space="preserve"> Completion and sign-off of all design artefacts—KPI framework, dashboard mock-ups, data model, and roadmap—ensuring VONQ is fully prepared to proceed rapidly into build and deployment within exit timelines.</w:t>
      </w:r>
    </w:p>
    <w:p>
      <w:pPr>
        <w:spacing w:after="80"/>
      </w:pPr>
    </w:p>
    <w:p>
      <w:pPr>
        <w:spacing w:after="160" w:line="276" w:lineRule="auto"/>
      </w:pPr>
      <w:r>
        <w:rPr>
          <w:rFonts w:ascii="Arial" w:hAnsi="Arial"/>
          <w:b w:val="0"/>
          <w:i w:val="0"/>
          <w:color w:val="1D1C1C"/>
          <w:sz w:val="20"/>
        </w:rPr>
        <w:t>Success will be measured by sign-off on Phase 1 deliverables, timely identification and prioritization of data gaps, and stakeholder confidence in the reporting suite’s ability to support the M&amp;A sale process.</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8</w:t>
        <w:tab/>
      </w:r>
      <w:r>
        <w:rPr>
          <w:rFonts w:ascii="Arial" w:hAnsi="Arial"/>
          <w:b/>
          <w:i w:val="0"/>
          <w:color w:val="19105B"/>
          <w:sz w:val="24"/>
        </w:rPr>
        <w:t>Business Impact</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Accelerated Exit Preparation:</w:t>
      </w:r>
      <w:r>
        <w:rPr>
          <w:rFonts w:ascii="Arial" w:hAnsi="Arial"/>
          <w:b w:val="0"/>
          <w:i w:val="0"/>
          <w:color w:val="1D1C1C"/>
          <w:sz w:val="20"/>
        </w:rPr>
        <w:t xml:space="preserve"> The design and implementation of a scalable exit reporting suite will streamline VONQ’s M&amp;A readiness, substantially reducing manual effort across Finance, CRM, and senior leadership teams. Automated data pipelines and batch processing will enable recurring refreshes, helping decrease reporting preparation time by up to 50%, and ensuring timely, accurate delivery of investor-grade materials.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Enhanced Financial Visibility:</w:t>
      </w:r>
      <w:r>
        <w:rPr>
          <w:rFonts w:ascii="Arial" w:hAnsi="Arial"/>
          <w:b w:val="0"/>
          <w:i w:val="0"/>
          <w:color w:val="1D1C1C"/>
          <w:sz w:val="20"/>
        </w:rPr>
        <w:t xml:space="preserve"> By integrating data from key enterprise systems (Finance, CRM, ERP) and standardizing critical KPIs, the solution provides investor-grade financial and operational insights. This enables VONQ to present credible, data-backed equity narratives, potentially increasing company valuation and minimizing risk of delays and reputational exposure during the sale process.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Cost Efficiency and ROI:</w:t>
      </w:r>
      <w:r>
        <w:rPr>
          <w:rFonts w:ascii="Arial" w:hAnsi="Arial"/>
          <w:b w:val="0"/>
          <w:i w:val="0"/>
          <w:color w:val="1D1C1C"/>
          <w:sz w:val="20"/>
        </w:rPr>
        <w:t xml:space="preserve"> Automation of data ingestion, refresh, and reporting processes will reduce reliance on manual data manipulation and ad hoc reporting, lowering operational costs associated with exit readiness and investor communications. The refreshed data cube and standardized dashboards are expected to offer tangible savings in internal resources and consultant hours, supporting rapid ROI upon project completion.</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Strategic Value Creation:</w:t>
      </w:r>
      <w:r>
        <w:rPr>
          <w:rFonts w:ascii="Arial" w:hAnsi="Arial"/>
          <w:b w:val="0"/>
          <w:i w:val="0"/>
          <w:color w:val="1D1C1C"/>
          <w:sz w:val="20"/>
        </w:rPr>
        <w:t xml:space="preserve"> The conceptual data model and phased implementation roadmap lay the foundation for future scalability, allowing for extensibility to new data sources and ongoing report refreshes post-transaction. These design artefacts become lasting business assets, empowering senior leadership to make data-driven decisions and supporting long-term technology adoption.</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Competitive Advantage:</w:t>
      </w:r>
      <w:r>
        <w:rPr>
          <w:rFonts w:ascii="Arial" w:hAnsi="Arial"/>
          <w:b w:val="0"/>
          <w:i w:val="0"/>
          <w:color w:val="1D1C1C"/>
          <w:sz w:val="20"/>
        </w:rPr>
        <w:t xml:space="preserve"> The resulting investor-ready reporting suite positions VONQ ahead of comparable mid-market SaaS peers by ensuring robust, transparent equity narratives and actionable KPIs. This readiness facilitates smoother negotiations, builds buyer confidence, and enhances VONQ’s reputation with advisors, acquirers, and investors.</w:t>
      </w:r>
    </w:p>
    <w:p>
      <w:pPr>
        <w:spacing w:after="80"/>
      </w:pPr>
    </w:p>
    <w:p>
      <w:pPr>
        <w:spacing w:after="160" w:line="276" w:lineRule="auto"/>
      </w:pPr>
      <w:r>
        <w:rPr>
          <w:rFonts w:ascii="Arial" w:hAnsi="Arial"/>
          <w:b w:val="0"/>
          <w:i w:val="0"/>
          <w:color w:val="1D1C1C"/>
          <w:sz w:val="20"/>
        </w:rPr>
        <w:t>The proposed engagement delivers measurable financial and operational benefits—accelerating exit readiness, improving reporting accuracy, reducing costs, and supporting strategic growth. By creating scalable, investor-grade reporting assets, VONQ is equipped to maximize transaction value, mitigate exit-related risks, and drive both immediate and long-term business impact.</w:t>
      </w:r>
    </w:p>
    <w:p>
      <w:pPr>
        <w:pBdr>
          <w:bottom w:val="single" w:sz="8" w:space="1" w:color="FF6196"/>
        </w:pBdr>
        <w:spacing w:before="40" w:after="200"/>
      </w:pPr>
    </w:p>
    <w:sectPr w:rsidR="00FC693F" w:rsidRPr="0006063C" w:rsidSect="00034616">
      <w:headerReference w:type="default" r:id="rId11"/>
      <w:footerReference w:type="default" r:id="rId12"/>
      <w:pgSz w:w="11906" w:h="16838"/>
      <w:pgMar w:top="1020" w:right="992" w:bottom="510" w:left="992" w:header="567"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0" w:val="left"/>
        <w:tab w:pos="4819" w:val="center"/>
        <w:tab w:pos="9921" w:val="right"/>
      </w:tabs>
      <w:spacing w:before="80" w:after="0"/>
      <w:pBdr>
        <w:top w:val="single" w:sz="8" w:space="4" w:color="173845"/>
      </w:pBdr>
    </w:pPr>
    <w:r>
      <w:rPr>
        <w:rFonts w:ascii="Arial" w:hAnsi="Arial"/>
        <w:b w:val="0"/>
        <w:i w:val="0"/>
        <w:color w:val="808080"/>
        <w:sz w:val="16"/>
      </w:rPr>
      <w:t>Circulation Limited: Client</w:t>
    </w:r>
    <w:r>
      <w:rPr>
        <w:rFonts w:ascii="Arial" w:hAnsi="Arial"/>
        <w:b w:val="0"/>
        <w:i w:val="0"/>
        <w:sz w:val="16"/>
      </w:rPr>
      <w:tab/>
    </w:r>
    <w:r>
      <w:rPr>
        <w:rFonts w:ascii="Arial" w:hAnsi="Arial"/>
        <w:b w:val="0"/>
        <w:i w:val="0"/>
        <w:color w:val="808080"/>
        <w:sz w:val="16"/>
      </w:rPr>
      <w:t>Version v1.0</w:t>
    </w:r>
    <w:r>
      <w:rPr>
        <w:rFonts w:ascii="Arial" w:hAnsi="Arial"/>
        <w:b w:val="0"/>
        <w:i w:val="0"/>
        <w:sz w:val="16"/>
      </w:rPr>
      <w:tab/>
    </w:r>
    <w:r>
      <w:rPr>
        <w:rFonts w:ascii="Arial" w:hAnsi="Arial"/>
        <w:b w:val="0"/>
        <w:i/>
        <w:color w:val="808080"/>
        <w:sz w:val="16"/>
      </w:rPr>
      <w:t>June 2026</w:t>
    </w:r>
    <w:r>
      <w:rPr>
        <w:rFonts w:ascii="Arial" w:hAnsi="Arial"/>
        <w:b w:val="0"/>
        <w:i w:val="0"/>
        <w:sz w:val="16"/>
      </w:rPr>
      <w:t xml:space="preserve"> </w:t>
    </w:r>
    <w:r>
      <w:rPr>
        <w:color w:val="808080"/>
        <w:sz w:val="16"/>
      </w:rPr>
      <w:fld>
        <w:instrText>PAGE</w:instrText>
      </w:fld>
    </w:r>
    <w:r>
      <w:rPr>
        <w:rFonts w:ascii="Arial" w:hAnsi="Arial"/>
        <w:b w:val="0"/>
        <w:i w:val="0"/>
        <w:sz w:val="16"/>
      </w:rPr>
      <w:t xml:space="preserve"> </w:t>
    </w:r>
    <w:r>
      <w:drawing>
        <wp:inline xmlns:a="http://schemas.openxmlformats.org/drawingml/2006/main" xmlns:pic="http://schemas.openxmlformats.org/drawingml/2006/picture">
          <wp:extent cx="1104417" cy="162000"/>
          <wp:docPr id="1" name="Picture 1"/>
          <wp:cNvGraphicFramePr>
            <a:graphicFrameLocks noChangeAspect="1"/>
          </wp:cNvGraphicFramePr>
          <a:graphic>
            <a:graphicData uri="http://schemas.openxmlformats.org/drawingml/2006/picture">
              <pic:pic>
                <pic:nvPicPr>
                  <pic:cNvPr id="0" name="jman_corner_mark.png"/>
                  <pic:cNvPicPr/>
                </pic:nvPicPr>
                <pic:blipFill>
                  <a:blip r:embed="rId1"/>
                  <a:stretch>
                    <a:fillRect/>
                  </a:stretch>
                </pic:blipFill>
                <pic:spPr>
                  <a:xfrm>
                    <a:off x="0" y="0"/>
                    <a:ext cx="1104417" cy="162000"/>
                  </a:xfrm>
                  <a:prstGeom prst="rect"/>
                </pic:spPr>
              </pic:pic>
            </a:graphicData>
          </a:graphic>
        </wp:inline>
      </w:drawing>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drawing>
        <wp:inline xmlns:a="http://schemas.openxmlformats.org/drawingml/2006/main" xmlns:pic="http://schemas.openxmlformats.org/drawingml/2006/picture">
          <wp:extent cx="1152000" cy="1078857"/>
          <wp:docPr id="1" name="Picture 1"/>
          <wp:cNvGraphicFramePr>
            <a:graphicFrameLocks noChangeAspect="1"/>
          </wp:cNvGraphicFramePr>
          <a:graphic>
            <a:graphicData uri="http://schemas.openxmlformats.org/drawingml/2006/picture">
              <pic:pic>
                <pic:nvPicPr>
                  <pic:cNvPr id="0" name="jman_logo_navy.png"/>
                  <pic:cNvPicPr/>
                </pic:nvPicPr>
                <pic:blipFill>
                  <a:blip r:embed="rId1"/>
                  <a:stretch>
                    <a:fillRect/>
                  </a:stretch>
                </pic:blipFill>
                <pic:spPr>
                  <a:xfrm>
                    <a:off x="0" y="0"/>
                    <a:ext cx="1152000" cy="1078857"/>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header" Target="header1.xml"/><Relationship Id="rId12"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