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 Background"/>
            <a:graphic xmlns:a="http://schemas.openxmlformats.org/drawingml/2006/main" xmlns:pic="http://schemas.openxmlformats.org/drawingml/2006/picture">
              <a:graphicData uri="http://schemas.openxmlformats.org/drawingml/2006/picture">
                <pic:pic>
                  <pic:nvPicPr>
                    <pic:cNvPr id="0" name="cover_background.jpg"/>
                    <pic:cNvPicPr/>
                  </pic:nvPicPr>
                  <pic:blipFill>
                    <a:blip r:embed="rId9"/>
                    <a:stretch>
                      <a:fillRect/>
                    </a:stretch>
                  </pic:blipFill>
                  <pic:spPr>
                    <a:xfrm>
                      <a:off x="0" y="0"/>
                      <a:ext cx="7560000" cy="10692000"/>
                    </a:xfrm>
                    <a:prstGeom prst="rect"/>
                  </pic:spPr>
                </pic:pic>
              </a:graphicData>
            </a:graphic>
          </wp:anchor>
        </w:drawing>
      </w:r>
    </w:p>
    <w:p>
      <w:pPr>
        <w:spacing w:after="0"/>
        <w:jc w:val="right"/>
      </w:pPr>
      <w:r>
        <w:drawing>
          <wp:inline xmlns:a="http://schemas.openxmlformats.org/drawingml/2006/main" xmlns:pic="http://schemas.openxmlformats.org/drawingml/2006/picture">
            <wp:extent cx="2880000" cy="2880000"/>
            <wp:docPr id="2" name="Picture 2"/>
            <wp:cNvGraphicFramePr>
              <a:graphicFrameLocks noChangeAspect="1"/>
            </wp:cNvGraphicFramePr>
            <a:graphic>
              <a:graphicData uri="http://schemas.openxmlformats.org/drawingml/2006/picture">
                <pic:pic>
                  <pic:nvPicPr>
                    <pic:cNvPr id="0" name="jman_logo_white.png"/>
                    <pic:cNvPicPr/>
                  </pic:nvPicPr>
                  <pic:blipFill>
                    <a:blip r:embed="rId10"/>
                    <a:stretch>
                      <a:fillRect/>
                    </a:stretch>
                  </pic:blipFill>
                  <pic:spPr>
                    <a:xfrm>
                      <a:off x="0" y="0"/>
                      <a:ext cx="2880000" cy="2880000"/>
                    </a:xfrm>
                    <a:prstGeom prst="rect"/>
                  </pic:spPr>
                </pic:pic>
              </a:graphicData>
            </a:graphic>
          </wp:inline>
        </w:drawing>
      </w:r>
    </w:p>
    <w:p>
      <w:pPr>
        <w:spacing w:after="4200"/>
      </w:pPr>
    </w:p>
    <w:p>
      <w:pPr>
        <w:pBdr>
          <w:bottom w:val="single" w:sz="4" w:space="4" w:color="FFFFFF"/>
        </w:pBdr>
        <w:spacing w:after="240"/>
      </w:pPr>
    </w:p>
    <w:p>
      <w:pPr>
        <w:spacing w:after="280"/>
      </w:pPr>
      <w:r>
        <w:rPr>
          <w:rFonts w:ascii="Arial" w:hAnsi="Arial"/>
          <w:b/>
          <w:i w:val="0"/>
          <w:color w:val="FF6196"/>
          <w:sz w:val="30"/>
        </w:rPr>
        <w:t>STATEMENT OF WORK BETWEEN</w:t>
      </w:r>
    </w:p>
    <w:p>
      <w:pPr>
        <w:spacing w:after="120"/>
      </w:pPr>
      <w:r>
        <w:rPr>
          <w:rFonts w:ascii="Arial" w:hAnsi="Arial"/>
          <w:b/>
          <w:i w:val="0"/>
          <w:color w:val="173845"/>
          <w:sz w:val="60"/>
        </w:rPr>
        <w:t>Client</w:t>
      </w:r>
    </w:p>
    <w:p>
      <w:pPr>
        <w:spacing w:after="120"/>
      </w:pPr>
      <w:r>
        <w:rPr>
          <w:rFonts w:ascii="Arial" w:hAnsi="Arial"/>
          <w:b w:val="0"/>
          <w:i/>
          <w:color w:val="808080"/>
          <w:sz w:val="32"/>
        </w:rPr>
        <w:t>And</w:t>
      </w:r>
    </w:p>
    <w:p>
      <w:pPr>
        <w:spacing w:after="0"/>
      </w:pPr>
      <w:r>
        <w:rPr>
          <w:rFonts w:ascii="Arial" w:hAnsi="Arial"/>
          <w:b/>
          <w:i w:val="0"/>
          <w:color w:val="173845"/>
          <w:sz w:val="60"/>
        </w:rPr>
        <w:t>JMAN Group</w:t>
      </w:r>
    </w:p>
    <w:p>
      <w:pPr>
        <w:sectPr>
          <w:pgSz w:w="11906" w:h="16838"/>
          <w:pgMar w:top="567" w:right="992" w:bottom="567" w:left="992" w:header="720" w:footer="720" w:gutter="0"/>
          <w:cols w:space="720"/>
          <w:docGrid w:linePitch="360"/>
        </w:sectPr>
      </w:pPr>
    </w:p>
    <w:p>
      <w:pPr>
        <w:tabs>
          <w:tab w:pos="578" w:val="left"/>
        </w:tabs>
        <w:spacing w:before="280" w:after="160"/>
        <w:ind w:left="578" w:hanging="578"/>
      </w:pPr>
      <w:r>
        <w:rPr>
          <w:rFonts w:ascii="Arial" w:hAnsi="Arial"/>
          <w:b/>
          <w:i w:val="0"/>
          <w:color w:val="19105B"/>
          <w:sz w:val="24"/>
        </w:rPr>
        <w:t>1</w:t>
        <w:tab/>
      </w:r>
      <w:r>
        <w:rPr>
          <w:rFonts w:ascii="Arial" w:hAnsi="Arial"/>
          <w:b/>
          <w:i w:val="0"/>
          <w:color w:val="19105B"/>
          <w:sz w:val="24"/>
        </w:rPr>
        <w:t>Business Context</w:t>
      </w:r>
    </w:p>
    <w:p>
      <w:pPr>
        <w:spacing w:after="80"/>
      </w:pPr>
    </w:p>
    <w:p>
      <w:pPr>
        <w:spacing w:after="160" w:line="276" w:lineRule="auto"/>
      </w:pPr>
      <w:r>
        <w:rPr>
          <w:rFonts w:ascii="Arial" w:hAnsi="Arial"/>
          <w:b w:val="0"/>
          <w:i w:val="0"/>
          <w:color w:val="1D1C1C"/>
          <w:sz w:val="20"/>
        </w:rPr>
        <w:t>VONQ is a mid-market recruitment software provider operating a B2B SaaS model, specializing in delivering recruitment software-as-a-service platforms to its clients. Key business stakeholders engaged in this initiative include the Client Engagement Manager, Paul Goodstadt (Service Provider Engagement Manager), and Barclays, serving as the client’s advisors. The finance, commercial/CRM, data/analytics, and senior leadership teams are directly impacted by this project, which sits at the core of the company’s preparations for a near-term exit and sale process.</w:t>
      </w:r>
    </w:p>
    <w:p>
      <w:pPr>
        <w:spacing w:after="80"/>
      </w:pPr>
    </w:p>
    <w:p>
      <w:pPr>
        <w:spacing w:after="160" w:line="276" w:lineRule="auto"/>
      </w:pPr>
      <w:r>
        <w:rPr>
          <w:rFonts w:ascii="Arial" w:hAnsi="Arial"/>
          <w:b w:val="0"/>
          <w:i w:val="0"/>
          <w:color w:val="1D1C1C"/>
          <w:sz w:val="20"/>
        </w:rPr>
        <w:t>The business challenge driving this engagement is the urgent need for a scalable, investor-ready exit reporting suite. Currently, VONQ relies on Qlik-based reporting via the Qlik Warehouse, which aggregates data from Finance, CRM, and ERP systems. However, there are data gaps across these source systems, and the existing reporting environment does not fully address the range or rigor of KPIs required for robust equity narratives. Integration challenges, such as the lack of fully automated data feeds from some systems, further complicate the ability to produce timely, accurate reporting during the transaction window.</w:t>
      </w:r>
    </w:p>
    <w:p>
      <w:pPr>
        <w:spacing w:after="80"/>
      </w:pPr>
    </w:p>
    <w:p>
      <w:pPr>
        <w:spacing w:after="160" w:line="276" w:lineRule="auto"/>
      </w:pPr>
      <w:r>
        <w:rPr>
          <w:rFonts w:ascii="Arial" w:hAnsi="Arial"/>
          <w:b w:val="0"/>
          <w:i w:val="0"/>
          <w:color w:val="1D1C1C"/>
          <w:sz w:val="20"/>
        </w:rPr>
        <w:t>This initiative is a strategic priority, underpinning VONQ’s ability to present credible data-backed equity narratives to potential acquirers and advisors. The work will deliver a refreshed data framework—including a conceptual data model, prioritized KPI structure, dashboard mock-ups, and a roadmap for implementation—designed to close critical information gaps, support investor communications, and de-risk the exit timeline for all stakeholders. Completion of this design work is essential to ensure VONQ can proceed confidently to Phase 2, meet transaction deadlines, and maximize strategic value in the sale process.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2</w:t>
        <w:tab/>
      </w:r>
      <w:r>
        <w:rPr>
          <w:rFonts w:ascii="Arial" w:hAnsi="Arial"/>
          <w:b/>
          <w:i w:val="0"/>
          <w:color w:val="19105B"/>
          <w:sz w:val="24"/>
        </w:rPr>
        <w:t>Overview</w:t>
      </w:r>
    </w:p>
    <w:p>
      <w:pPr>
        <w:spacing w:after="80"/>
      </w:pPr>
    </w:p>
    <w:p>
      <w:pPr>
        <w:spacing w:after="160" w:line="276" w:lineRule="auto"/>
      </w:pPr>
      <w:r>
        <w:rPr>
          <w:rFonts w:ascii="Arial" w:hAnsi="Arial"/>
          <w:b w:val="0"/>
          <w:i w:val="0"/>
          <w:color w:val="1D1C1C"/>
          <w:sz w:val="20"/>
        </w:rPr>
        <w:t>VONQ’s current operations involve several functional teams—Finance, commercial/CRM, data/analytics, and senior leadership—actively engaged in exit preparation and investor reporting activities. These teams rely on multiple core systems, including a Finance System, CRM, ERP, and the Qlik Warehouse, which serves as the primary platform for data storage and reporting.</w:t>
      </w:r>
    </w:p>
    <w:p>
      <w:pPr>
        <w:spacing w:after="80"/>
      </w:pPr>
    </w:p>
    <w:p>
      <w:pPr>
        <w:spacing w:after="160" w:line="276" w:lineRule="auto"/>
      </w:pPr>
      <w:r>
        <w:rPr>
          <w:rFonts w:ascii="Arial" w:hAnsi="Arial"/>
          <w:b w:val="0"/>
          <w:i w:val="0"/>
          <w:color w:val="1D1C1C"/>
          <w:sz w:val="20"/>
        </w:rPr>
        <w:t>Reporting and analytics workflows are presently supported by Qlik-based tools and the Qlik Warehouse, with most business-critical information sourced from the Finance System, CRM, and ERP. Additional Excel-based datasets and legacy sources may also be referenced, particularly where trended data coverage of at least three years is required. Integration between these systems presents challenges; not all source systems are connected automatically to the Qlik Warehouse, necessitating manual, one-off ingestion for certain data. Where ongoing updates to source data are needed during the transaction, a refresh process has been established to maintain data currency. The Qlik Warehouse provides the underlying cloud platform infrastructure for current reporting and analytics capabilities.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3</w:t>
        <w:tab/>
      </w:r>
      <w:r>
        <w:rPr>
          <w:rFonts w:ascii="Arial" w:hAnsi="Arial"/>
          <w:b/>
          <w:i w:val="0"/>
          <w:color w:val="19105B"/>
          <w:sz w:val="24"/>
        </w:rPr>
        <w:t>Understanding</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VONQ needs to address the lack of investor-ready exit reporting to support its near-term sale process, specifically requiring a scalable exit reporting suite that can underpin stakeholder communications and the M&amp;A transaction.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There are data gaps across source systems, and the existing Qlik Warehouse does not fully support all KPIs required for a compelling equity narrative during investor due diligence.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Some source systems lack automated integration with the Qlik Warehouse, leading to manual, one-off data ingestion steps and a need for recurring updates during the transaction period.</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Mandatory integration is required for the Finance System, CRM, and ERP into the Qlik Warehouse, with legacy systems included to provide at least three years of trended data.</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Essential capabilities include equity narrative definition, a prioritised KPI framework, dashboard prototypes, comprehensive data feasibility assessment, conceptual data model design, tooling recommendations, and a phased implementation roadmap.</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Automated data ingestion and refresh pipelines are required to streamline updates from all core and legacy sources into the Qlik Warehouse throughout the transaction lifecycle.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Key user roles that will interact with the suite are senior leadership, external advisors (including Barclays), and potential acquirers/investors, all of whom need robust, timely, and credible data for decision-making.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 engagement is time-sensitive, constrained by the exit timeline (Phase 1 expected from 29 June to 24 July 2026), stakeholder availability, timely data access, and existing Qlik Warehouse data completeness.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4</w:t>
        <w:tab/>
      </w:r>
      <w:r>
        <w:rPr>
          <w:rFonts w:ascii="Arial" w:hAnsi="Arial"/>
          <w:b/>
          <w:i w:val="0"/>
          <w:color w:val="19105B"/>
          <w:sz w:val="24"/>
        </w:rPr>
        <w:t>Objectives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Establish a fully designed exit reporting suite featuring clear equity narratives and a prioritized KPI framework, supporting the sale process and investor communications.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Enable automated, refreshable data ingestion pipelines from Finance, CRM, ERP, and legacy sources to ensure ongoing data availability for transaction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 senior leadership and stakeholders with investor-grade visibility into key commercial, financial, and operational metrics required for M&amp;A due diligence.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 intuitive dashboards aligned to equity narratives, with clearly defined KPIs, calculation logic, and user-friendly navigation structure.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Standardize exit reporting processes and ensure the data infrastructure is ready for investor scrutiny, improving business readiness for the sale.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Lay the foundation for long-term scalability by designing data models and reporting tools that are extensible to additional data sources and fully automatable post-transaction.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Integrate the reporting suite with core systems (Finance System, CRM, ERP, Qlik Warehouse), while assessing tooling options for future expansion and adaptability.</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5</w:t>
        <w:tab/>
      </w:r>
      <w:r>
        <w:rPr>
          <w:rFonts w:ascii="Arial" w:hAnsi="Arial"/>
          <w:b/>
          <w:i w:val="0"/>
          <w:color w:val="19105B"/>
          <w:sz w:val="24"/>
        </w:rPr>
        <w:t>Deliverables</w:t>
      </w:r>
    </w:p>
    <w:p>
      <w:pPr>
        <w:spacing w:after="80"/>
      </w:pPr>
    </w:p>
    <w:p>
      <w:pPr>
        <w:spacing w:after="160" w:line="276" w:lineRule="auto"/>
      </w:pPr>
      <w:r>
        <w:rPr>
          <w:rFonts w:ascii="Arial" w:hAnsi="Arial"/>
          <w:b w:val="0"/>
          <w:i w:val="0"/>
          <w:color w:val="1D1C1C"/>
          <w:sz w:val="20"/>
        </w:rPr>
        <w:t>Throughout the engagement with VONQ, the following key deliverables and artifacts will be provided to ensure a comprehensive and actionable outcome aligned with the project objectives:</w:t>
      </w:r>
    </w:p>
    <w:p>
      <w:pPr>
        <w:spacing w:after="80"/>
      </w:pPr>
    </w:p>
    <w:p>
      <w:pPr>
        <w:spacing w:after="160" w:line="276" w:lineRule="auto"/>
      </w:pPr>
      <w:r>
        <w:rPr>
          <w:rFonts w:ascii="Arial" w:hAnsi="Arial"/>
          <w:b w:val="0"/>
          <w:i w:val="0"/>
          <w:color w:val="1D1C1C"/>
          <w:sz w:val="20"/>
        </w:rPr>
        <w:t xml:space="preserve">1. </w:t>
      </w:r>
      <w:r>
        <w:rPr>
          <w:rFonts w:ascii="Arial" w:hAnsi="Arial"/>
          <w:b/>
          <w:i w:val="0"/>
          <w:color w:val="1D1C1C"/>
          <w:sz w:val="20"/>
        </w:rPr>
        <w:t>Equity Narratives Definition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Clearly articulated equity narratives tailored to the exit and investor reporting context.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Documentation of business value drivers underpinning each narrative.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a written report and supporting presentation deck at the end of Week 1.</w:t>
      </w:r>
    </w:p>
    <w:p>
      <w:pPr>
        <w:spacing w:after="80"/>
      </w:pPr>
    </w:p>
    <w:p>
      <w:pPr>
        <w:spacing w:after="160" w:line="276" w:lineRule="auto"/>
      </w:pPr>
      <w:r>
        <w:rPr>
          <w:rFonts w:ascii="Arial" w:hAnsi="Arial"/>
          <w:b w:val="0"/>
          <w:i w:val="0"/>
          <w:color w:val="1D1C1C"/>
          <w:sz w:val="20"/>
        </w:rPr>
        <w:t xml:space="preserve">2. </w:t>
      </w:r>
      <w:r>
        <w:rPr>
          <w:rFonts w:ascii="Arial" w:hAnsi="Arial"/>
          <w:b/>
          <w:i w:val="0"/>
          <w:color w:val="1D1C1C"/>
          <w:sz w:val="20"/>
        </w:rPr>
        <w:t>Metrics that Matter KPI Framework</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Prioritized framework of commercial, financial, and operational KPIs essential for the equity narrative.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KPI calculation logic, clear definitions, and source mapping for each metric.</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Provided as a structured spreadsheet and supporting documentation by the end of Week 2.</w:t>
      </w:r>
    </w:p>
    <w:p>
      <w:pPr>
        <w:spacing w:after="80"/>
      </w:pPr>
    </w:p>
    <w:p>
      <w:pPr>
        <w:spacing w:after="160" w:line="276" w:lineRule="auto"/>
      </w:pPr>
      <w:r>
        <w:rPr>
          <w:rFonts w:ascii="Arial" w:hAnsi="Arial"/>
          <w:b w:val="0"/>
          <w:i w:val="0"/>
          <w:color w:val="1D1C1C"/>
          <w:sz w:val="20"/>
        </w:rPr>
        <w:t xml:space="preserve">3. </w:t>
      </w:r>
      <w:r>
        <w:rPr>
          <w:rFonts w:ascii="Arial" w:hAnsi="Arial"/>
          <w:b/>
          <w:i w:val="0"/>
          <w:color w:val="1D1C1C"/>
          <w:sz w:val="20"/>
        </w:rPr>
        <w:t>Dashboard Mock-ups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Static wireframes illustrating proposed dashboard layouts, views, and key navigation structures.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Visual representation of prioritized KPIs and narrative alignment.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PDF and accessible design files (e.g., Figma or PowerPoint) by the end of Week 3.</w:t>
      </w:r>
    </w:p>
    <w:p>
      <w:pPr>
        <w:spacing w:after="80"/>
      </w:pPr>
    </w:p>
    <w:p>
      <w:pPr>
        <w:spacing w:after="160" w:line="276" w:lineRule="auto"/>
      </w:pPr>
      <w:r>
        <w:rPr>
          <w:rFonts w:ascii="Arial" w:hAnsi="Arial"/>
          <w:b w:val="0"/>
          <w:i w:val="0"/>
          <w:color w:val="1D1C1C"/>
          <w:sz w:val="20"/>
        </w:rPr>
        <w:t xml:space="preserve">4. </w:t>
      </w:r>
      <w:r>
        <w:rPr>
          <w:rFonts w:ascii="Arial" w:hAnsi="Arial"/>
          <w:b/>
          <w:i w:val="0"/>
          <w:color w:val="1D1C1C"/>
          <w:sz w:val="20"/>
        </w:rPr>
        <w:t>Data Feasibility Assessment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Assessment report detailing current-state data availability, data gaps, and limitations across source systems.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Playback session of findings, including recommendations for addressing critical data issues.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a written report and executive summary presentation at the end of Week 2.</w:t>
      </w:r>
    </w:p>
    <w:p>
      <w:pPr>
        <w:spacing w:after="80"/>
      </w:pPr>
    </w:p>
    <w:p>
      <w:pPr>
        <w:spacing w:after="160" w:line="276" w:lineRule="auto"/>
      </w:pPr>
      <w:r>
        <w:rPr>
          <w:rFonts w:ascii="Arial" w:hAnsi="Arial"/>
          <w:b w:val="0"/>
          <w:i w:val="0"/>
          <w:color w:val="1D1C1C"/>
          <w:sz w:val="20"/>
        </w:rPr>
        <w:t xml:space="preserve">5. </w:t>
      </w:r>
      <w:r>
        <w:rPr>
          <w:rFonts w:ascii="Arial" w:hAnsi="Arial"/>
          <w:b/>
          <w:i w:val="0"/>
          <w:color w:val="1D1C1C"/>
          <w:sz w:val="20"/>
        </w:rPr>
        <w:t>Conceptual Data Model Design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High-level, scalable data model design leveraging the existing Qlik Warehouse as the foundation.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Visual schematics, entity relationship diagrams, and data flow documentation.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Provided as diagrams and design document by the end of Week 3.</w:t>
      </w:r>
    </w:p>
    <w:p>
      <w:pPr>
        <w:spacing w:after="80"/>
      </w:pPr>
    </w:p>
    <w:p>
      <w:pPr>
        <w:spacing w:after="160" w:line="276" w:lineRule="auto"/>
      </w:pPr>
      <w:r>
        <w:rPr>
          <w:rFonts w:ascii="Arial" w:hAnsi="Arial"/>
          <w:b w:val="0"/>
          <w:i w:val="0"/>
          <w:color w:val="1D1C1C"/>
          <w:sz w:val="20"/>
        </w:rPr>
        <w:t xml:space="preserve">6. </w:t>
      </w:r>
      <w:r>
        <w:rPr>
          <w:rFonts w:ascii="Arial" w:hAnsi="Arial"/>
          <w:b/>
          <w:i w:val="0"/>
          <w:color w:val="1D1C1C"/>
          <w:sz w:val="20"/>
        </w:rPr>
        <w:t>Data Infrastructure and Tooling Recommendations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Evaluation of viable data tooling and infrastructure options to support refreshable KPI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Options analysis, including pros, cons, and trade-offs for Qlik and potential alternative tools.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a comparative recommendations report by the end of Week 3.</w:t>
      </w:r>
    </w:p>
    <w:p>
      <w:pPr>
        <w:spacing w:after="80"/>
      </w:pPr>
    </w:p>
    <w:p>
      <w:pPr>
        <w:spacing w:after="160" w:line="276" w:lineRule="auto"/>
      </w:pPr>
      <w:r>
        <w:rPr>
          <w:rFonts w:ascii="Arial" w:hAnsi="Arial"/>
          <w:b w:val="0"/>
          <w:i w:val="0"/>
          <w:color w:val="1D1C1C"/>
          <w:sz w:val="20"/>
        </w:rPr>
        <w:t xml:space="preserve">7. </w:t>
      </w:r>
      <w:r>
        <w:rPr>
          <w:rFonts w:ascii="Arial" w:hAnsi="Arial"/>
          <w:b/>
          <w:i w:val="0"/>
          <w:color w:val="1D1C1C"/>
          <w:sz w:val="20"/>
        </w:rPr>
        <w:t>Implementation Roadmap for Phase 2</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Phased execution plan outlining priority use cases, dependencies, risks, and key milestones.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Actionable timeline supporting the transition to technical development and dashboard build.</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Provided as a Gantt chart and supporting roadmap document at project close (end of Week 4).</w:t>
      </w:r>
    </w:p>
    <w:p>
      <w:pPr>
        <w:spacing w:after="80"/>
      </w:pPr>
    </w:p>
    <w:p>
      <w:pPr>
        <w:spacing w:after="160" w:line="276" w:lineRule="auto"/>
      </w:pPr>
      <w:r>
        <w:rPr>
          <w:rFonts w:ascii="Arial" w:hAnsi="Arial"/>
          <w:b w:val="0"/>
          <w:i w:val="0"/>
          <w:color w:val="1D1C1C"/>
          <w:sz w:val="20"/>
        </w:rPr>
        <w:t>Each deliverable will be iteratively reviewed with VONQ’s leadership and technical teams to ensure alignment with business goals and to incorporate feedback promptly. This structured approach guarantees transparency, accountability, and measurable value throughout the engagement lifecycle.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6</w:t>
        <w:tab/>
      </w:r>
      <w:r>
        <w:rPr>
          <w:rFonts w:ascii="Arial" w:hAnsi="Arial"/>
          <w:b/>
          <w:i w:val="0"/>
          <w:color w:val="19105B"/>
          <w:sz w:val="24"/>
        </w:rPr>
        <w:t>Approach</w:t>
      </w:r>
    </w:p>
    <w:p>
      <w:pPr>
        <w:spacing w:after="80"/>
      </w:pPr>
    </w:p>
    <w:p>
      <w:pPr>
        <w:spacing w:after="160" w:line="276" w:lineRule="auto"/>
      </w:pPr>
      <w:r>
        <w:rPr>
          <w:rFonts w:ascii="Arial" w:hAnsi="Arial"/>
          <w:b w:val="0"/>
          <w:i w:val="0"/>
          <w:color w:val="1D1C1C"/>
          <w:sz w:val="20"/>
        </w:rPr>
        <w:t>VONQ’s engagement is structured to deliver a robust, investor-grade exit reporting suite that supports the planned sale process and enhances stakeholder communications. Our methodology is tailored for mid-market B2B SaaS environments and prioritizes rapid, high-quality delivery of design artifacts essential for a seamless Phase 2 implementation. Leveraging a blend of targeted workshops, stakeholder engagement, and best practices in data and reporting design, we ensure that each activity aligns with the exit timeline and addresses the unique requirements of commercial, financial, and operational reporting.</w:t>
      </w:r>
    </w:p>
    <w:p>
      <w:pPr>
        <w:spacing w:after="80"/>
      </w:pPr>
    </w:p>
    <w:p>
      <w:pPr>
        <w:spacing w:after="160" w:line="276" w:lineRule="auto"/>
      </w:pPr>
      <w:r>
        <w:rPr>
          <w:rFonts w:ascii="Arial" w:hAnsi="Arial"/>
          <w:b w:val="0"/>
          <w:i w:val="0"/>
          <w:color w:val="1D1C1C"/>
          <w:sz w:val="20"/>
        </w:rPr>
        <w:t>Our phased approach begins with an intensive Discovery &amp; Design phase, focusing on defining equity narratives, KPI frameworks, dashboard mock-ups, and a conceptual data model. Throughout the engagement, we collaborate closely with VONQ stakeholders, Barclays (advisors), and JMANGROUP to validate findings, mitigate risks, and ensure all deliverables are actionable. Technology choices and processes will be continuously evaluated for extensibility and future automation, using the existing Qlik Warehouse as the central data platform, with Finance, CRM, ERP, and other mutually agreed sources in scope.</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1: Discovery &amp; Design, Duration: 4 weeks, Timeline: Week 1 (29 June) to Week 4 (24 July 2026)</w:t>
      </w:r>
    </w:p>
    <w:p>
      <w:pPr>
        <w:spacing w:after="160" w:line="276" w:lineRule="auto"/>
      </w:pPr>
      <w:r>
        <w:rPr>
          <w:rFonts w:ascii="Arial" w:hAnsi="Arial"/>
          <w:b/>
          <w:i w:val="0"/>
          <w:color w:val="1D1C1C"/>
          <w:sz w:val="20"/>
        </w:rPr>
        <w:t>Summary:</w:t>
      </w:r>
      <w:r>
        <w:rPr>
          <w:rFonts w:ascii="Arial" w:hAnsi="Arial"/>
          <w:b w:val="0"/>
          <w:i w:val="0"/>
          <w:color w:val="1D1C1C"/>
          <w:sz w:val="20"/>
        </w:rPr>
        <w:t xml:space="preserve"> Define the exit reporting suite’s equity narratives, prioritized KPI framework, dashboard mock-ups, data model, tool recommendations, and implementation roadmap, laying a solid foundation for subsequent technical build-out.</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stakeholder workshops to define equity narratives and preliminary “Metrics that Matter” KPI framework</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Inventory and assess data sources (Finance, CRM, ERP, Qlik Warehouse, legacy/Excel files), documenting data quality and gaps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static dashboard mock-ups, including navigation structure, KPI calculation logic, and approval pathways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Design a high-level conceptual data model leveraging Qlik Warehouse, detailing major integration points and source-to-target mappings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Evaluate and recommend data tooling and infrastructure options, with detailed pros, cons, and future scalability considerations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a phased implementation roadmap that outlines use cases for Phase 2, dependencies, risks, and key milestones</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Concluding Paragraph</w:t>
      </w:r>
    </w:p>
    <w:p>
      <w:pPr>
        <w:spacing w:after="80"/>
      </w:pPr>
    </w:p>
    <w:p>
      <w:pPr>
        <w:spacing w:after="160" w:line="276" w:lineRule="auto"/>
      </w:pPr>
      <w:r>
        <w:rPr>
          <w:rFonts w:ascii="Arial" w:hAnsi="Arial"/>
          <w:b w:val="0"/>
          <w:i w:val="0"/>
          <w:color w:val="1D1C1C"/>
          <w:sz w:val="20"/>
        </w:rPr>
        <w:t>This structured, collaborative approach ensures VONQ receives decision-ready design assets that de-risk the sale process and equip leadership with clear, aligned narratives for investors. By systematically addressing business drivers, data feasibility, and technical integration early, we lay the groundwork for an accelerated and successful implementation in Phase 2—enabling VONQ to meet tight exit timelines while building enduring business value.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7</w:t>
        <w:tab/>
      </w:r>
      <w:r>
        <w:rPr>
          <w:rFonts w:ascii="Arial" w:hAnsi="Arial"/>
          <w:b/>
          <w:i w:val="0"/>
          <w:color w:val="19105B"/>
          <w:sz w:val="24"/>
        </w:rPr>
        <w:t>Outcomes</w:t>
      </w:r>
    </w:p>
    <w:p>
      <w:pPr>
        <w:spacing w:after="80"/>
      </w:pPr>
    </w:p>
    <w:p>
      <w:pPr>
        <w:spacing w:after="160" w:line="276" w:lineRule="auto"/>
      </w:pPr>
      <w:r>
        <w:rPr>
          <w:rFonts w:ascii="Arial" w:hAnsi="Arial"/>
          <w:b w:val="0"/>
          <w:i w:val="0"/>
          <w:color w:val="1D1C1C"/>
          <w:sz w:val="20"/>
        </w:rPr>
        <w:t>The engagement will enable VONQ to accelerate its exit readiness by establishing a robust, investor-grade reporting suite. By providing comprehensive design deliverables—including an equity narrative-aligned KPI framework and dashboard mock-ups—the project will enable credible, data-backed stakeholder communications, directly supporting transaction efficiency and business value articulation.</w:t>
      </w:r>
    </w:p>
    <w:p>
      <w:pPr>
        <w:spacing w:after="80"/>
      </w:pPr>
    </w:p>
    <w:p>
      <w:pPr>
        <w:spacing w:before="200" w:after="80"/>
      </w:pPr>
      <w:r>
        <w:rPr>
          <w:rFonts w:ascii="Arial" w:hAnsi="Arial"/>
          <w:b/>
          <w:i w:val="0"/>
          <w:color w:val="FF6196"/>
          <w:sz w:val="22"/>
        </w:rPr>
        <w:t>Expected Business Outcomes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Investor-Ready Reporting Design:</w:t>
      </w:r>
      <w:r>
        <w:rPr>
          <w:rFonts w:ascii="Arial" w:hAnsi="Arial"/>
          <w:b w:val="0"/>
          <w:i w:val="0"/>
          <w:color w:val="1D1C1C"/>
          <w:sz w:val="20"/>
        </w:rPr>
        <w:t xml:space="preserve"> Delivery of a validated exit reporting suite design, including a clear equity narrative, ensures that all stakeholders—senior leadership, advisors, and potential buyers—have confidence in the data and story presented during the sale process.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Aligned KPI Framework:</w:t>
      </w:r>
      <w:r>
        <w:rPr>
          <w:rFonts w:ascii="Arial" w:hAnsi="Arial"/>
          <w:b w:val="0"/>
          <w:i w:val="0"/>
          <w:color w:val="1D1C1C"/>
          <w:sz w:val="20"/>
        </w:rPr>
        <w:t xml:space="preserve"> Establishment of prioritized commercial, financial, and operational KPIs enables leadership to track the business metrics most critical for investor reporting, supporting objective assessment of performance and growth potential.</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Increased Data Transparency:</w:t>
      </w:r>
      <w:r>
        <w:rPr>
          <w:rFonts w:ascii="Arial" w:hAnsi="Arial"/>
          <w:b w:val="0"/>
          <w:i w:val="0"/>
          <w:color w:val="1D1C1C"/>
          <w:sz w:val="20"/>
        </w:rPr>
        <w:t xml:space="preserve"> Identification of data gaps and remediation priorities improves the visibility and reliability of information drawn from Finance, CRM, ERP, and legacy sources, ensuring investors have access to complete and accurate historical trends.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Scalable Reporting Infrastructure:</w:t>
      </w:r>
      <w:r>
        <w:rPr>
          <w:rFonts w:ascii="Arial" w:hAnsi="Arial"/>
          <w:b w:val="0"/>
          <w:i w:val="0"/>
          <w:color w:val="1D1C1C"/>
          <w:sz w:val="20"/>
        </w:rPr>
        <w:t xml:space="preserve"> The conceptual data model and tooling recommendations will lay the groundwork for a reporting architecture that is extensible and automatable beyond the transaction, future-proofing VONQ’s data platform.</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Accelerated Exit Timeline:</w:t>
      </w:r>
      <w:r>
        <w:rPr>
          <w:rFonts w:ascii="Arial" w:hAnsi="Arial"/>
          <w:b w:val="0"/>
          <w:i w:val="0"/>
          <w:color w:val="1D1C1C"/>
          <w:sz w:val="20"/>
        </w:rPr>
        <w:t xml:space="preserve"> Structured design artefacts and a clear implementation roadmap minimize execution risks, supporting timely progression to Phase 2 and reducing delays that could impact perceptions or deal valuation.</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Credible Equity Narrative Articulation:</w:t>
      </w:r>
      <w:r>
        <w:rPr>
          <w:rFonts w:ascii="Arial" w:hAnsi="Arial"/>
          <w:b w:val="0"/>
          <w:i w:val="0"/>
          <w:color w:val="1D1C1C"/>
          <w:sz w:val="20"/>
        </w:rPr>
        <w:t xml:space="preserve"> The harmonized dashboards and supporting documentation empower leadership to consistently present a compelling, data-driven equity story to the market, reducing reputational risks with advisors and acquirers.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8</w:t>
        <w:tab/>
      </w:r>
      <w:r>
        <w:rPr>
          <w:rFonts w:ascii="Arial" w:hAnsi="Arial"/>
          <w:b/>
          <w:i w:val="0"/>
          <w:color w:val="19105B"/>
          <w:sz w:val="24"/>
        </w:rPr>
        <w:t>Business Impact</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Accelerated Exit Readiness:</w:t>
      </w:r>
      <w:r>
        <w:rPr>
          <w:rFonts w:ascii="Arial" w:hAnsi="Arial"/>
          <w:b w:val="0"/>
          <w:i w:val="0"/>
          <w:color w:val="1D1C1C"/>
          <w:sz w:val="20"/>
        </w:rPr>
        <w:t xml:space="preserve"> By delivering a validated exit reporting suite—including a refreshable data cube, dashboard mock-ups, and a clear KPI framework—VONQ will significantly reduce the time and effort required to prepare for acquisition, minimizing the risk of exit delays and supporting adherence to a compressed transaction timeline.</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Financial Reporting Excellence:</w:t>
      </w:r>
      <w:r>
        <w:rPr>
          <w:rFonts w:ascii="Arial" w:hAnsi="Arial"/>
          <w:b w:val="0"/>
          <w:i w:val="0"/>
          <w:color w:val="1D1C1C"/>
          <w:sz w:val="20"/>
        </w:rPr>
        <w:t xml:space="preserve"> The new reporting suite will provide investor-grade visibility into key commercial and financial performance metrics, addressing current data gaps and enabling data-backed equity narratives. This transparency supports higher valuation potential and increases buyer confidence during diligence.</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Operational Efficiency Gains:</w:t>
      </w:r>
      <w:r>
        <w:rPr>
          <w:rFonts w:ascii="Arial" w:hAnsi="Arial"/>
          <w:b w:val="0"/>
          <w:i w:val="0"/>
          <w:color w:val="1D1C1C"/>
          <w:sz w:val="20"/>
        </w:rPr>
        <w:t xml:space="preserve"> Automation of data ingestion and recurring refresh processes from core systems (Finance, CRM, ERP) into Qlik Warehouse will streamline data management and reduce manual reporting effort by an estimated 40–60% during the transaction window, freeing up critical staff resources for value-adding activities.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Strategic Value Creation:</w:t>
      </w:r>
      <w:r>
        <w:rPr>
          <w:rFonts w:ascii="Arial" w:hAnsi="Arial"/>
          <w:b w:val="0"/>
          <w:i w:val="0"/>
          <w:color w:val="1D1C1C"/>
          <w:sz w:val="20"/>
        </w:rPr>
        <w:t xml:space="preserve"> Establishing a prioritized KPI framework and a scalable data model underpins long-term business objectives, ensuring that reporting assets produced during the exit process become enduring capabilities that VONQ can leverage for future decision support and operational performance monitoring.</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Competitive Advantage in M&amp;A Process:</w:t>
      </w:r>
      <w:r>
        <w:rPr>
          <w:rFonts w:ascii="Arial" w:hAnsi="Arial"/>
          <w:b w:val="0"/>
          <w:i w:val="0"/>
          <w:color w:val="1D1C1C"/>
          <w:sz w:val="20"/>
        </w:rPr>
        <w:t xml:space="preserve"> The ability to rapidly deliver clear, investor-ready dashboards—aligned to agreed equity narratives—positions VONQ as a well-prepared, data-driven business, mitigating reputational and process risks while enhancing appeal to acquirers and investors.</w:t>
      </w:r>
    </w:p>
    <w:p>
      <w:pPr>
        <w:spacing w:after="80"/>
      </w:pPr>
    </w:p>
    <w:p>
      <w:pPr>
        <w:spacing w:after="160" w:line="276" w:lineRule="auto"/>
      </w:pPr>
      <w:r>
        <w:rPr>
          <w:rFonts w:ascii="Arial" w:hAnsi="Arial"/>
          <w:b w:val="0"/>
          <w:i w:val="0"/>
          <w:color w:val="1D1C1C"/>
          <w:sz w:val="20"/>
        </w:rPr>
        <w:t>VONQ’s engagement in this initiative will yield a lasting competitive edge by embedding strong data governance, advanced reporting capabilities, and a future-proof data model. Collectively, these improvements will drive transaction efficiency, support valuation maximization, and prepare the organization for sustained growth post-exit.</w:t>
      </w:r>
    </w:p>
    <w:p>
      <w:pPr>
        <w:pBdr>
          <w:bottom w:val="single" w:sz="8" w:space="1" w:color="FF6196"/>
        </w:pBdr>
        <w:spacing w:before="40" w:after="200"/>
      </w:pPr>
    </w:p>
    <w:sectPr w:rsidR="00FC693F" w:rsidRPr="0006063C" w:rsidSect="00034616">
      <w:headerReference w:type="default" r:id="rId11"/>
      <w:footerReference w:type="default" r:id="rId12"/>
      <w:pgSz w:w="11906" w:h="16838"/>
      <w:pgMar w:top="1020" w:right="992" w:bottom="510" w:left="992"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0" w:val="left"/>
        <w:tab w:pos="4819" w:val="center"/>
        <w:tab w:pos="9921" w:val="right"/>
      </w:tabs>
      <w:spacing w:before="80" w:after="0"/>
      <w:pBdr>
        <w:top w:val="single" w:sz="8" w:space="4" w:color="173845"/>
      </w:pBdr>
    </w:pPr>
    <w:r>
      <w:rPr>
        <w:rFonts w:ascii="Arial" w:hAnsi="Arial"/>
        <w:b w:val="0"/>
        <w:i w:val="0"/>
        <w:color w:val="808080"/>
        <w:sz w:val="16"/>
      </w:rPr>
      <w:t>Circulation Limited: Client</w:t>
    </w:r>
    <w:r>
      <w:rPr>
        <w:rFonts w:ascii="Arial" w:hAnsi="Arial"/>
        <w:b w:val="0"/>
        <w:i w:val="0"/>
        <w:sz w:val="16"/>
      </w:rPr>
      <w:tab/>
    </w:r>
    <w:r>
      <w:rPr>
        <w:rFonts w:ascii="Arial" w:hAnsi="Arial"/>
        <w:b w:val="0"/>
        <w:i w:val="0"/>
        <w:color w:val="808080"/>
        <w:sz w:val="16"/>
      </w:rPr>
      <w:t>Version v1.0</w:t>
    </w:r>
    <w:r>
      <w:rPr>
        <w:rFonts w:ascii="Arial" w:hAnsi="Arial"/>
        <w:b w:val="0"/>
        <w:i w:val="0"/>
        <w:sz w:val="16"/>
      </w:rPr>
      <w:tab/>
    </w:r>
    <w:r>
      <w:rPr>
        <w:rFonts w:ascii="Arial" w:hAnsi="Arial"/>
        <w:b w:val="0"/>
        <w:i/>
        <w:color w:val="808080"/>
        <w:sz w:val="16"/>
      </w:rPr>
      <w:t>June 2026</w:t>
    </w:r>
    <w:r>
      <w:rPr>
        <w:rFonts w:ascii="Arial" w:hAnsi="Arial"/>
        <w:b w:val="0"/>
        <w:i w:val="0"/>
        <w:sz w:val="16"/>
      </w:rPr>
      <w:t xml:space="preserve"> </w:t>
    </w:r>
    <w:r>
      <w:rPr>
        <w:color w:val="808080"/>
        <w:sz w:val="16"/>
      </w:rPr>
      <w:fld>
        <w:instrText>PAGE</w:instrText>
      </w:fld>
    </w:r>
    <w:r>
      <w:rPr>
        <w:rFonts w:ascii="Arial" w:hAnsi="Arial"/>
        <w:b w:val="0"/>
        <w:i w:val="0"/>
        <w:sz w:val="16"/>
      </w:rPr>
      <w:t xml:space="preserve"> </w:t>
    </w:r>
    <w:r>
      <w:drawing>
        <wp:inline xmlns:a="http://schemas.openxmlformats.org/drawingml/2006/main" xmlns:pic="http://schemas.openxmlformats.org/drawingml/2006/picture">
          <wp:extent cx="1104417" cy="162000"/>
          <wp:docPr id="1" name="Picture 1"/>
          <wp:cNvGraphicFramePr>
            <a:graphicFrameLocks noChangeAspect="1"/>
          </wp:cNvGraphicFramePr>
          <a:graphic>
            <a:graphicData uri="http://schemas.openxmlformats.org/drawingml/2006/picture">
              <pic:pic>
                <pic:nvPicPr>
                  <pic:cNvPr id="0" name="jman_corner_mark.png"/>
                  <pic:cNvPicPr/>
                </pic:nvPicPr>
                <pic:blipFill>
                  <a:blip r:embed="rId1"/>
                  <a:stretch>
                    <a:fillRect/>
                  </a:stretch>
                </pic:blipFill>
                <pic:spPr>
                  <a:xfrm>
                    <a:off x="0" y="0"/>
                    <a:ext cx="1104417" cy="162000"/>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drawing>
        <wp:inline xmlns:a="http://schemas.openxmlformats.org/drawingml/2006/main" xmlns:pic="http://schemas.openxmlformats.org/drawingml/2006/picture">
          <wp:extent cx="1152000" cy="1078857"/>
          <wp:docPr id="1" name="Picture 1"/>
          <wp:cNvGraphicFramePr>
            <a:graphicFrameLocks noChangeAspect="1"/>
          </wp:cNvGraphicFramePr>
          <a:graphic>
            <a:graphicData uri="http://schemas.openxmlformats.org/drawingml/2006/picture">
              <pic:pic>
                <pic:nvPicPr>
                  <pic:cNvPr id="0" name="jman_logo_navy.png"/>
                  <pic:cNvPicPr/>
                </pic:nvPicPr>
                <pic:blipFill>
                  <a:blip r:embed="rId1"/>
                  <a:stretch>
                    <a:fillRect/>
                  </a:stretch>
                </pic:blipFill>
                <pic:spPr>
                  <a:xfrm>
                    <a:off x="0" y="0"/>
                    <a:ext cx="1152000" cy="107885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