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operates as a mid-market recruitment SaaS provider, delivering a business-to-business platform tailored for recruitment teams. Its primary offering is a software-as-a-service suite designed to streamline recruitment processes for clients across the mid-market segment. Key business stakeholders involved in this initiative include client and service provider engagement managers, with Barclays acting as the client’s advisors.</w:t>
      </w:r>
    </w:p>
    <w:p>
      <w:pPr>
        <w:spacing w:after="80"/>
      </w:pPr>
    </w:p>
    <w:p>
      <w:pPr>
        <w:spacing w:after="160" w:line="276" w:lineRule="auto"/>
      </w:pPr>
      <w:r>
        <w:rPr>
          <w:rFonts w:ascii="Arial" w:hAnsi="Arial"/>
          <w:b w:val="0"/>
          <w:i w:val="0"/>
          <w:color w:val="1D1C1C"/>
          <w:sz w:val="20"/>
        </w:rPr>
        <w:t>Currently, VONQ is preparing for a near-term exit and sale process. To support this, the company urgently requires a scalable exit reporting suite, comprised of a refreshable data cube, investor-grade dashboards, and comprehensive supporting documentation. This solution must address existing limitations in investor-ready reporting and the integration gaps between critical systems—including Finance, CRM, ERP, and the existing Qlik Warehouse platform. These gaps present risks for the sale timeline and the credibility of equity narratives presented to prospective acquirers and investors.</w:t>
      </w:r>
    </w:p>
    <w:p>
      <w:pPr>
        <w:spacing w:after="80"/>
      </w:pPr>
    </w:p>
    <w:p>
      <w:pPr>
        <w:spacing w:after="160" w:line="276" w:lineRule="auto"/>
      </w:pPr>
      <w:r>
        <w:rPr>
          <w:rFonts w:ascii="Arial" w:hAnsi="Arial"/>
          <w:b w:val="0"/>
          <w:i w:val="0"/>
          <w:color w:val="1D1C1C"/>
          <w:sz w:val="20"/>
        </w:rPr>
        <w:t>This initiative is strategically significant for VONQ, as the success of the exit process will hinge on the ability to present accurate, comprehensive, and investor-relevant business insights. Delivering a robust reporting framework will not only lift the quality of information available to senior leadership, advisors, and buyers, but also establish lasting assets and infrastructure, positioning VONQ for future scalability and ongoing business value post-transaction. Failure to address these needs could impact transaction timelines and perceived business value in the eyes of potential stakeholders.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operations in preparation for a potential exit are characterized by active involvement from the finance, commercial/CRM, data/analytics, and senior leadership teams, all of whom contribute to exit preparation and investor reporting activities. A range of core systems are currently in use, including a Finance System, a CRM, an ERP, and the Qlik Warehouse, which serves as the primary data and reporting platform.</w:t>
      </w:r>
    </w:p>
    <w:p>
      <w:pPr>
        <w:spacing w:after="80"/>
      </w:pPr>
    </w:p>
    <w:p>
      <w:pPr>
        <w:spacing w:after="160" w:line="276" w:lineRule="auto"/>
      </w:pPr>
      <w:r>
        <w:rPr>
          <w:rFonts w:ascii="Arial" w:hAnsi="Arial"/>
          <w:b w:val="0"/>
          <w:i w:val="0"/>
          <w:color w:val="1D1C1C"/>
          <w:sz w:val="20"/>
        </w:rPr>
        <w:t>Reporting and analytics are presently managed through Qlik-based dashboards and reports, utilizing data drawn from the Finance System, CRM, ERP, and the Qlik Warehouse. Additional data sources can also include Excel-based datasets and, potentially, other external systems, subject to feasibility. Integration between some source systems and the Qlik Warehouse is not fully automated; select systems require manual, one-off data ingestion to support comprehensive reporting. Legacy data sources may be leveraged to provide a minimum three-year historical trend, as needed for transaction transparency. The data infrastructure is anchored by the Qlik Warehouse, which houses trended and transactional data used for current reporting needs.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needs to design and build a scalable exit reporting suite to support the M&amp;A sale process and facilitate robust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lack of investor-ready reporting, with potential data gaps across source systems that hinder comprehensive exit and KPI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existing Qlik Warehouse may not fully support all required KPIs critical for the equity narrative demanded by stakeholders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Equity narrative definition and a prioritized KPI framework are required to align reporting with investor and advisor expectations.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reporting solution must include dashboard mock-ups, a data feasibility assessment, a conceptual data model,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Automation of data ingestion and refresh pipelines from Finance System, CRM, ERP, and legacy sources into the Qlik Warehouse is required, particularly for ongoing updates during the transaction period.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Core user groups include senior leadership, exit advisors (Barclays), and potential acquirers/investors, each with distinct data and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is required between Finance System, CRM, ERP, and the Qlik Warehouse, with legacy data sources needed to provide at least three years of trended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a fully designed exit reporting suite that clearly articulates equity narratives and presents a prioritized framework of key performance indicators aligned to investor and advisor expectations.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automated, refreshable data ingestion and update processes from core business systems (Finance, CRM, ERP, and legacy data sources) to ensure timely and accurate reporting throughout the transaction period.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senior leadership and stakeholders with investor-grade visibility into commercial, financial, and operational metrics that underpin the equity story and support the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intuitive, user-friendly dashboards with transparent KPI definitions, calculation logic, and clear navigation to improve the overall reporting and decision-making experience.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Standardize exit reporting workflows and KPI frameworks to better prepare the organization for investor scrutiny and ensure data infrastructure readiness.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reporting suite, data model, and underlying infrastructure are extensible and scalable, supporting integration of new data sources and future automation needs post-transaction.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existing core systems (Finance System, CRM, ERP, Qlik Warehouse) into a cohesive reporting platform, with options for future tooling and technology enhancements evaluated for long-term business benefit.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w:t>
      </w:r>
    </w:p>
    <w:p>
      <w:pPr>
        <w:spacing w:after="160" w:line="276" w:lineRule="auto"/>
      </w:pP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Formal documentation outlining equity narratives tailored for the exit process and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articulation of the business value proposition and strategic positioning for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in presentation and report format during Week 1.</w:t>
      </w:r>
    </w:p>
    <w:p>
      <w:pPr>
        <w:spacing w:after="80"/>
      </w:pPr>
    </w:p>
    <w:p>
      <w:pPr>
        <w:spacing w:after="160" w:line="276" w:lineRule="auto"/>
      </w:pPr>
      <w:r>
        <w:rPr>
          <w:rFonts w:ascii="Arial" w:hAnsi="Arial"/>
          <w:b w:val="0"/>
          <w:i w:val="0"/>
          <w:color w:val="1D1C1C"/>
          <w:sz w:val="20"/>
        </w:rPr>
        <w:t>2.</w:t>
      </w:r>
    </w:p>
    <w:p>
      <w:pPr>
        <w:spacing w:after="160" w:line="276" w:lineRule="auto"/>
      </w:pP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framework detailing prioritized commercial, financial, and operational KPIs essential for investor-grade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KPI definitions, calculation logic, and alignment to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comprehensive Excel spreadsheet and supporting documentation, reviewed at the Week 1 workshop.</w:t>
      </w:r>
    </w:p>
    <w:p>
      <w:pPr>
        <w:spacing w:after="80"/>
      </w:pPr>
    </w:p>
    <w:p>
      <w:pPr>
        <w:spacing w:after="160" w:line="276" w:lineRule="auto"/>
      </w:pPr>
      <w:r>
        <w:rPr>
          <w:rFonts w:ascii="Arial" w:hAnsi="Arial"/>
          <w:b w:val="0"/>
          <w:i w:val="0"/>
          <w:color w:val="1D1C1C"/>
          <w:sz w:val="20"/>
        </w:rPr>
        <w:t>3.</w:t>
      </w:r>
    </w:p>
    <w:p>
      <w:pPr>
        <w:spacing w:after="160" w:line="276" w:lineRule="auto"/>
      </w:pP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dashboard mock-ups illustrating proposed layouts, metrics, and navigation structures.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reflecting investor reporting requirements and equity narrative alignment.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PDF and design files by Week 2, aligned to workshop feedback.</w:t>
      </w:r>
    </w:p>
    <w:p>
      <w:pPr>
        <w:spacing w:after="80"/>
      </w:pPr>
    </w:p>
    <w:p>
      <w:pPr>
        <w:spacing w:after="160" w:line="276" w:lineRule="auto"/>
      </w:pPr>
      <w:r>
        <w:rPr>
          <w:rFonts w:ascii="Arial" w:hAnsi="Arial"/>
          <w:b w:val="0"/>
          <w:i w:val="0"/>
          <w:color w:val="1D1C1C"/>
          <w:sz w:val="20"/>
        </w:rPr>
        <w:t>4.</w:t>
      </w:r>
    </w:p>
    <w:p>
      <w:pPr>
        <w:spacing w:after="160" w:line="276" w:lineRule="auto"/>
      </w:pP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Playback report summarizing current-state findings and identifying data gaps across financial, CRM, ERP, and legacy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Feasibility analysis for integration, data quality, and trended data readiness for a minimum three-year period.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report format, completed in Week 2.</w:t>
      </w:r>
    </w:p>
    <w:p>
      <w:pPr>
        <w:spacing w:after="80"/>
      </w:pPr>
    </w:p>
    <w:p>
      <w:pPr>
        <w:spacing w:after="160" w:line="276" w:lineRule="auto"/>
      </w:pPr>
      <w:r>
        <w:rPr>
          <w:rFonts w:ascii="Arial" w:hAnsi="Arial"/>
          <w:b w:val="0"/>
          <w:i w:val="0"/>
          <w:color w:val="1D1C1C"/>
          <w:sz w:val="20"/>
        </w:rPr>
        <w:t>5.</w:t>
      </w:r>
    </w:p>
    <w:p>
      <w:pPr>
        <w:spacing w:after="160" w:line="276" w:lineRule="auto"/>
      </w:pP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conceptual data model leveraging Qlik Warehouse as the foundation for the exit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entity relationship diagrams and refresh pipeline design, specifying integration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technical diagrams and accompanying documentation by Week 3.</w:t>
      </w:r>
    </w:p>
    <w:p>
      <w:pPr>
        <w:spacing w:after="80"/>
      </w:pPr>
    </w:p>
    <w:p>
      <w:pPr>
        <w:spacing w:after="160" w:line="276" w:lineRule="auto"/>
      </w:pPr>
      <w:r>
        <w:rPr>
          <w:rFonts w:ascii="Arial" w:hAnsi="Arial"/>
          <w:b w:val="0"/>
          <w:i w:val="0"/>
          <w:color w:val="1D1C1C"/>
          <w:sz w:val="20"/>
        </w:rPr>
        <w:t>6.</w:t>
      </w:r>
    </w:p>
    <w:p>
      <w:pPr>
        <w:spacing w:after="160" w:line="276" w:lineRule="auto"/>
      </w:pP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recommendations covering data infrastructure options and reporting tool selection.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of pros, cons, scalability, and automation capabilities to support the future-state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a structured report and presentation format in Week 3.</w:t>
      </w:r>
    </w:p>
    <w:p>
      <w:pPr>
        <w:spacing w:after="80"/>
      </w:pPr>
    </w:p>
    <w:p>
      <w:pPr>
        <w:spacing w:after="160" w:line="276" w:lineRule="auto"/>
      </w:pPr>
      <w:r>
        <w:rPr>
          <w:rFonts w:ascii="Arial" w:hAnsi="Arial"/>
          <w:b w:val="0"/>
          <w:i w:val="0"/>
          <w:color w:val="1D1C1C"/>
          <w:sz w:val="20"/>
        </w:rPr>
        <w:t>7.</w:t>
      </w:r>
    </w:p>
    <w:p>
      <w:pPr>
        <w:spacing w:after="160" w:line="276" w:lineRule="auto"/>
      </w:pP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project roadmap covering priority use cases, dependencies, risks, and key milestones for the build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timeline, resource allocation, and exit process alignment.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Gantt chart and action plan document by Week 4.</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aims to deliver a comprehensive exit reporting suite, underpinning the upcoming M&amp;A sale process and investor communications. Our methodology is grounded in rapid, structured discovery and design, centering around business stakeholder workshops, current-state analysis, and collaborative solution definition. By focusing on actionable design artifacts—such as equity narratives, KPI frameworks, dashboard mock-ups, and a scalable conceptual data model—we enable VONQ’s leadership and advisors to confidently initiate Phase 2 technical implementation aligned to exit objectives.</w:t>
      </w:r>
    </w:p>
    <w:p>
      <w:pPr>
        <w:spacing w:after="80"/>
      </w:pPr>
    </w:p>
    <w:p>
      <w:pPr>
        <w:spacing w:after="160" w:line="276" w:lineRule="auto"/>
      </w:pPr>
      <w:r>
        <w:rPr>
          <w:rFonts w:ascii="Arial" w:hAnsi="Arial"/>
          <w:b w:val="0"/>
          <w:i w:val="0"/>
          <w:color w:val="1D1C1C"/>
          <w:sz w:val="20"/>
        </w:rPr>
        <w:t>Our approach leverages deep expertise in data-driven reporting, SaaS operations, and transaction readiness. Throughout the engagement, we will work closely with VONQ’s finance, commercial, data/analytics, and senior leadership teams to ensure all relevant data sources (Finance, CRM, ERP, legacy datasets) are considered. Activities are structured to maximize speed, quality, and stakeholder input within a defined four-week timeline, culminating in thorough recommendations and a clear implementation roadmap for subsequent build.</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2026)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the equity narrative, prioritize KPIs, design dashboard mock-ups, assess data feasibility, architect a conceptual data model, and produce tooling recommendations and a Phase 2 implementation roadmap.</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define equity narratives and capture transaction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prioritized “Metrics That Matter” KPI framework and document calculation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static dashboard mock-ups illustrating proposed metrics, layout, and navigation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Analyze current-state data sources and perform a feasibility and gap assessment (Finance, CRM, ERP, Qlik Warehouse, and legacy datasets)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conceptual data model using Qlik Warehouse as a baseline, addressing scalability and refresh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 data infrastructure and supplementary tooling options (including pros/cons), and produce an actionable implementation roadmap for Phase 2</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ensures VONQ receives investor-ready reporting design aligned to equity narratives and transaction requirements within the exit timeline. The structured methodology delivers clarity, addresses data gaps, and de-risks subsequent technical implementation—supporting a seamless transition to Phase 2 and maximizing value realization for stakeholders and advisors.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provide VONQ with a robust, investor-ready exit reporting suite designed to strengthen the credibility of the M&amp;A process and accelerate stakeholder alignment. Through the creation of a scalable data model, prioritized KPI framework, and intuitive dashboards, VONQ’s leadership and advisors will gain clearer, data-driven insights into core business performance—enhancing transparency, positioning, and transaction readiness. These outcomes are expected to directly improve confidence among potential acquirers and facilitate timely, informed decision-making throughout the exit process.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Suite:</w:t>
      </w:r>
      <w:r>
        <w:rPr>
          <w:rFonts w:ascii="Arial" w:hAnsi="Arial"/>
          <w:b w:val="0"/>
          <w:i w:val="0"/>
          <w:color w:val="1D1C1C"/>
          <w:sz w:val="20"/>
        </w:rPr>
        <w:t xml:space="preserve"> Delivery of a validated reporting framework that equips VONQ with clear, defendable KPIs and dashboards aligned to equity narratives for presentation to acquirers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Timely Transaction Enablement:</w:t>
      </w:r>
      <w:r>
        <w:rPr>
          <w:rFonts w:ascii="Arial" w:hAnsi="Arial"/>
          <w:b w:val="0"/>
          <w:i w:val="0"/>
          <w:color w:val="1D1C1C"/>
          <w:sz w:val="20"/>
        </w:rPr>
        <w:t xml:space="preserve"> Readiness to initiate Phase 2 execution with all required reporting design artefacts completed and approved within the defined four-week window, supporting VONQ’s exit timeline and minimizing risk of delays.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 Transparency:</w:t>
      </w:r>
      <w:r>
        <w:rPr>
          <w:rFonts w:ascii="Arial" w:hAnsi="Arial"/>
          <w:b w:val="0"/>
          <w:i w:val="0"/>
          <w:color w:val="1D1C1C"/>
          <w:sz w:val="20"/>
        </w:rPr>
        <w:t xml:space="preserve"> Identification and documentation of current data gaps, remediation priorities, and end-to-end reporting lineage, enabling transparent, fact-based discussions with stakeholders and acquirers.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Standardized KPI Framework:</w:t>
      </w:r>
      <w:r>
        <w:rPr>
          <w:rFonts w:ascii="Arial" w:hAnsi="Arial"/>
          <w:b w:val="0"/>
          <w:i w:val="0"/>
          <w:color w:val="1D1C1C"/>
          <w:sz w:val="20"/>
        </w:rPr>
        <w:t xml:space="preserve"> Establishment of an agreed, prioritized KPI set covering commercial, financial, and operational levers critical to investor reporting and due diligence.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Infrastructure:</w:t>
      </w:r>
      <w:r>
        <w:rPr>
          <w:rFonts w:ascii="Arial" w:hAnsi="Arial"/>
          <w:b w:val="0"/>
          <w:i w:val="0"/>
          <w:color w:val="1D1C1C"/>
          <w:sz w:val="20"/>
        </w:rPr>
        <w:t xml:space="preserve"> Recommendations and conceptual designs for a reporting solution that is extensible to additional data sources, fully refreshable, and positioned for seamless automation post-transaction.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Stakeholder Confidence &amp; Reduced Risk:</w:t>
      </w:r>
      <w:r>
        <w:rPr>
          <w:rFonts w:ascii="Arial" w:hAnsi="Arial"/>
          <w:b w:val="0"/>
          <w:i w:val="0"/>
          <w:color w:val="1D1C1C"/>
          <w:sz w:val="20"/>
        </w:rPr>
        <w:t xml:space="preserve"> Clear communication of VONQ’s business performance and equity story, reducing reputational risk, increasing advisor confidence, and supporting credible negotiations with potential buyers.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Delivering a validated, investor-ready exit reporting suite will streamline VONQ's M&amp;A process, enabling faster stakeholder alignment and supporting the achievement of critical exit timelines.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Transparency:</w:t>
      </w:r>
      <w:r>
        <w:rPr>
          <w:rFonts w:ascii="Arial" w:hAnsi="Arial"/>
          <w:b w:val="0"/>
          <w:i w:val="0"/>
          <w:color w:val="1D1C1C"/>
          <w:sz w:val="20"/>
        </w:rPr>
        <w:t xml:space="preserve"> Standardized equity narrative-aligned KPI frameworks and dashboards will improve the credibility and clarity of business performance reporting—helping mitigate the risk of value erosion during buyer due diligence and reducing potential delays to the sale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and Automation:</w:t>
      </w:r>
      <w:r>
        <w:rPr>
          <w:rFonts w:ascii="Arial" w:hAnsi="Arial"/>
          <w:b w:val="0"/>
          <w:i w:val="0"/>
          <w:color w:val="1D1C1C"/>
          <w:sz w:val="20"/>
        </w:rPr>
        <w:t xml:space="preserve"> The design of automated data ingestion and refresh pipelines for Finance, CRM, and ERP systems will significantly reduce manual reporting effort, improving data accuracy and freeing up valuable staff time for higher-impact analysis.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Decision Enablement:</w:t>
      </w:r>
      <w:r>
        <w:rPr>
          <w:rFonts w:ascii="Arial" w:hAnsi="Arial"/>
          <w:b w:val="0"/>
          <w:i w:val="0"/>
          <w:color w:val="1D1C1C"/>
          <w:sz w:val="20"/>
        </w:rPr>
        <w:t xml:space="preserve"> Leadership and advisors will benefit from actionable, investor-grade insights through intuitive dashboards and clear KPI logic, directly supporting confident, data-driven decision-making and negotiation leverage throughout the exit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Future-Ready Scalability:</w:t>
      </w:r>
      <w:r>
        <w:rPr>
          <w:rFonts w:ascii="Arial" w:hAnsi="Arial"/>
          <w:b w:val="0"/>
          <w:i w:val="0"/>
          <w:color w:val="1D1C1C"/>
          <w:sz w:val="20"/>
        </w:rPr>
        <w:t xml:space="preserve"> The conceptual data model and tooling recommendations will position VONQ’s reporting infrastructure for future extensibility, enabling seamless integration of additional data sources and supporting ongoing business analytics well beyond the transaction.</w:t>
      </w:r>
    </w:p>
    <w:p>
      <w:pPr>
        <w:spacing w:after="80"/>
      </w:pPr>
    </w:p>
    <w:p>
      <w:pPr>
        <w:spacing w:after="160" w:line="276" w:lineRule="auto"/>
      </w:pPr>
      <w:r>
        <w:rPr>
          <w:rFonts w:ascii="Arial" w:hAnsi="Arial"/>
          <w:b w:val="0"/>
          <w:i w:val="0"/>
          <w:color w:val="1D1C1C"/>
          <w:sz w:val="20"/>
        </w:rPr>
        <w:t>This engagement will empower VONQ to present a compelling, data-backed equity narrative, accelerating the exit process and minimizing risks associated with data gaps or inconsistent reporting. The resulting design artifacts and recommendations will not only support a successful transaction but also serve as lasting assets for ongoing value creation and sustained operational excellence.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