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in the mid-market recruitment sector as a business-to-business software-as-a-service (SaaS) provider. The company’s primary offering is a recruitment software platform designed to streamline talent acquisition for corporate clients. Key stakeholders for this initiative include the Client Engagement Manager, Paul Goodstadt (Service Provider Engagement Manager), and Barclays, who act as advisors in the context of an upcoming transaction.</w:t>
      </w:r>
    </w:p>
    <w:p>
      <w:pPr>
        <w:spacing w:after="80"/>
      </w:pPr>
    </w:p>
    <w:p>
      <w:pPr>
        <w:spacing w:after="160" w:line="276" w:lineRule="auto"/>
      </w:pPr>
      <w:r>
        <w:rPr>
          <w:rFonts w:ascii="Arial" w:hAnsi="Arial"/>
          <w:b w:val="0"/>
          <w:i w:val="0"/>
          <w:color w:val="1D1C1C"/>
          <w:sz w:val="20"/>
        </w:rPr>
        <w:t>VONQ is preparing for a near-term exit and sale process, necessitating a robust and scalable exit reporting suite to underpin the transaction and facilitate clear stakeholder communications. The existing reporting environment, centered on the Qlik Warehouse, is marked by gaps in investor-grade metrics and limited support for the full range of KPIs needed to articulate a credible equity narrative. Data integration is further complicated by partial automation across source systems, with recurring refresh processes required for transaction reporting. Critical teams such as finance, commercial/CRM, data and analytics, and senior leadership are directly impacted by these challenges.</w:t>
      </w:r>
    </w:p>
    <w:p>
      <w:pPr>
        <w:spacing w:after="80"/>
      </w:pPr>
    </w:p>
    <w:p>
      <w:pPr>
        <w:spacing w:after="160" w:line="276" w:lineRule="auto"/>
      </w:pPr>
      <w:r>
        <w:rPr>
          <w:rFonts w:ascii="Arial" w:hAnsi="Arial"/>
          <w:b w:val="0"/>
          <w:i w:val="0"/>
          <w:color w:val="1D1C1C"/>
          <w:sz w:val="20"/>
        </w:rPr>
        <w:t>This project is of strategic importance to VONQ, as its outcome will determine the company’s ability to present a validated, data-backed equity narrative to acquirers and advisors, mitigating reputational and timeline risks. The objective is to deliver a comprehensive design artefact suite—equity narrative definition, a prioritized KPI framework, dashboard mock-ups, data feasibility assessment, and a conceptual data model—setting the stage for a successful Phase 2 build and ensuring readiness for investor scrutiny throughout the sale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operational landscape for exit preparation and investor reporting involves the finance, commercial/CRM, data/analytics, and senior leadership teams. These groups are directly engaged with activities related to exit readiness, data collation, and ongoing investor communications.</w:t>
      </w:r>
    </w:p>
    <w:p>
      <w:pPr>
        <w:spacing w:after="80"/>
      </w:pPr>
    </w:p>
    <w:p>
      <w:pPr>
        <w:spacing w:after="160" w:line="276" w:lineRule="auto"/>
      </w:pPr>
      <w:r>
        <w:rPr>
          <w:rFonts w:ascii="Arial" w:hAnsi="Arial"/>
          <w:b w:val="0"/>
          <w:i w:val="0"/>
          <w:color w:val="1D1C1C"/>
          <w:sz w:val="20"/>
        </w:rPr>
        <w:t>The company utilizes a suite of existing systems and platforms, including its Finance System, CRM, ERP, and the Qlik Warehouse, which serves as the primary data platform for reporting. Reporting and analytics today are managed through Qlik-based tools, leveraging the Qlik Warehouse as both a data repository and reporting engine. Additional Excel-based datasets and selected external systems may also play a role, subject to feasibility and agreement.</w:t>
      </w:r>
    </w:p>
    <w:p>
      <w:pPr>
        <w:spacing w:after="80"/>
      </w:pPr>
    </w:p>
    <w:p>
      <w:pPr>
        <w:spacing w:after="160" w:line="276" w:lineRule="auto"/>
      </w:pPr>
      <w:r>
        <w:rPr>
          <w:rFonts w:ascii="Arial" w:hAnsi="Arial"/>
          <w:b w:val="0"/>
          <w:i w:val="0"/>
          <w:color w:val="1D1C1C"/>
          <w:sz w:val="20"/>
        </w:rPr>
        <w:t>Primary data sources include the Finance System, CRM, ERP, and the Qlik Warehouse, with legacy sources supplying minimum three-year trended data where required. While there is foundational infrastructure in place, integration challenges remain: several source systems do not have automated connections to the Qlik Warehouse and require manual, one-off data ingestion. Where recurring data refresh is necessary during the transaction, interim refresh processes are planned.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requires a scalable exit reporting suite—including a refreshable data cube, dashboards, and supporting documentation—to support its M&amp;A sale process and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lack of investor-ready reporting, resulting in difficulty presenting credible data-backed equity narratives to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Potential data gaps exist across source systems, with the current Qlik Warehouse not fully supporting all required KPIs for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challenges exist: some source systems do not have automated connections into the Qlik Warehouse and require manual one-off ingestion, particularly where recurring refresh is needed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Capability requirements include equity narrative definition, a prioritised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workflows are needed for data ingestion and refresh pipelines from Finance System, CRM, and ERP into the Qlik Warehouse, including recurring refresh for sources requiring updates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Finance System, CRM, and ERP into the Qlik Warehouse; legacy sources must be included to provide a minimum of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primary users of the exit reporting suite will be senior leadership, exit advisors (Barclays), and potential acquirers/investors.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fully designed exit reporting suite featuring clear equity narratives, a prioritised KPI framework, dashboard mock-ups, and a scalable conceptual data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automated data ingestion pipelines and recurring data refresh processes from source systems, ensuring up-to-date reporting throughout the transaction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and advisors with investor-grade visibility into key business metrics, supporting the equity narrative and facilitating effective sale process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with intuitive dashboards that align to equity narratives, incorporating clear KPI definitions, calculation logic,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Standardise exit reporting, KPI definitions, and data infrastructure readiness to meet investor scrutiny and streamline business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solution designed as a lasting business asset, capable of full automation post-transaction and scalable with future technology choices.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data model and reporting suite are extensible to additional data sources and maintain ongoing refreshability beyond the immediate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the future platform with Finance System, CRM, ERP, and Qlik Warehouse, with consideration for alternative tooling to support future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equity narratives that will guide investor reporting and exit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narrative themes and supporting rationale to inform dashboard content and KPI selection.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a structured report format, delivered by the end of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list of commercial, financial, and operational KPIs aligned to the defined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calculation logic, definitions, and source mapping for transparency.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Presentation deck summarizing framework and rationale, delivered during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key dashboard layouts, navigation structures, and metrics placement.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presented in PDF/PowerPoint format for stakeholder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Shared at the end of Week 2, with iteration based on feedback in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Playback of current-state findings, including existing data gaps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data availability, completeness, and quality for reporting purposes.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assessment report, delivered by the end of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data model leveraging the Qlik Warehouse and integrating Finance, CRM, ERP, and any legacy sources for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diagram and accompanying documentation outlining entity relationships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the end of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Comparative analysis of data integration and reporting tools, including pros and cons.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enhancements or alternative solutions with trade-off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Summarized in a recommendation report, delivered by the end of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roadmap outlining priority use cases, dependencies, risks, and key milestones for Phase 2 execution.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Phasing plan with timelines, roles, and deliverable schedule.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a project plan document, delivered in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focused on designing a scalable and investor-grade exit reporting suite in preparation for a near-term sale process. The solution will enable VONQ’s leadership and advisors to communicate a credible equity narrative underpinned by robust, refreshable metrics and dashboards. Our methodology blends proven best practices in SaaS reporting design, rigorous stakeholder engagement, and a practical understanding of VONQ’s current Qlik Warehouse data environment.</w:t>
      </w:r>
    </w:p>
    <w:p>
      <w:pPr>
        <w:spacing w:after="80"/>
      </w:pPr>
    </w:p>
    <w:p>
      <w:pPr>
        <w:spacing w:after="160" w:line="276" w:lineRule="auto"/>
      </w:pPr>
      <w:r>
        <w:rPr>
          <w:rFonts w:ascii="Arial" w:hAnsi="Arial"/>
          <w:b w:val="0"/>
          <w:i w:val="0"/>
          <w:color w:val="1D1C1C"/>
          <w:sz w:val="20"/>
        </w:rPr>
        <w:t>We will proceed using a structured and collaborative approach, organized into a single Discovery &amp; Design phase of four weeks. The phase incorporates both business and technical discovery, requirements validation, and iterative design sprints. Each key deliverable— from equity narrative definition to dashboard mock-ups and a conceptual data model—will be developed in close partnership with stakeholders to ensure alignment with exit goals and investor expectations. Outputs will position VONQ for accelerated delivery and stakeholder sign-off in the subsequent implementation phase.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will deliver all foundational design artifacts: equity narrative definitions, KPI framework, dashboard mock-ups, data feasibility findings, a conceptual data model, tooling recommendations, and a detailed implementation roadmap for Phase 2.</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Initiate project with stakeholder kickoff, confirming roles, key outputs, and critical path.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to define investor-ready equity narratives and align on "Metrics That Matter" for exit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current-state data sources (Finance System, CRM, ERP, legacy datasets) and Qlik Warehouse readiness; perform a structured data gap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static dashboard mock-ups and build a prioritised KPI framework, including calculation logic and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conceptual data model leveraging Qlik Warehouse, with recommendations for automated batch data ingestion and alternative tooling options.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comprehensive implementation roadmap identifying Phase 2 scope, critical dependencies, timelines, and key risks.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enables VONQ to achieve clarity, alignment, and momentum in its exit reporting strategy. By the end of Phase 1, VONQ will possess a validated reporting suite design and actionable roadmap, directly supporting a credible and defensible equity narrative for investors and buyers. These design artifacts will ensure rapid, low-risk progression into technical build while maximizing reusability, scalability, and long-term business value.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empower VONQ to confidently enter the exit process with a validated and investor-ready reporting suite. By providing a robust framework for equity narratives, prioritised KPIs, and actionable dashboard concepts, the project will enable seamless, data-driven communications with advisors and potential acquirers. The outcomes will directly support business-critical decision-making, drive transparency, and ensure alignment with the strategic exit timeline.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Exit Reporting:</w:t>
      </w:r>
      <w:r>
        <w:rPr>
          <w:rFonts w:ascii="Arial" w:hAnsi="Arial"/>
          <w:b w:val="0"/>
          <w:i w:val="0"/>
          <w:color w:val="1D1C1C"/>
          <w:sz w:val="20"/>
        </w:rPr>
        <w:t xml:space="preserve"> VONQ will achieve a fully validated exit reporting design, including a clear equity narrative, KPI definitions, and dashboard mock-ups tailored to M&amp;A and investor needs.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Prioritised KPI Framework:</w:t>
      </w:r>
      <w:r>
        <w:rPr>
          <w:rFonts w:ascii="Arial" w:hAnsi="Arial"/>
          <w:b w:val="0"/>
          <w:i w:val="0"/>
          <w:color w:val="1D1C1C"/>
          <w:sz w:val="20"/>
        </w:rPr>
        <w:t xml:space="preserve"> Senior leadership and stakeholders will gain immediate access to a prioritised set of commercial, financial, and operational KPIs, ensuring focus on the metrics that matter most for equity story articulation and buyer due diligence.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Transparency on Data Readiness:</w:t>
      </w:r>
      <w:r>
        <w:rPr>
          <w:rFonts w:ascii="Arial" w:hAnsi="Arial"/>
          <w:b w:val="0"/>
          <w:i w:val="0"/>
          <w:color w:val="1D1C1C"/>
          <w:sz w:val="20"/>
        </w:rPr>
        <w:t xml:space="preserve"> The engagement will provide a clear view of current data gaps and remediation priorities across all relevant source systems, de-risking the transaction by surfacing any potential issues ahead of investor scrutiny.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Acceleration of Exit Timeline:</w:t>
      </w:r>
      <w:r>
        <w:rPr>
          <w:rFonts w:ascii="Arial" w:hAnsi="Arial"/>
          <w:b w:val="0"/>
          <w:i w:val="0"/>
          <w:color w:val="1D1C1C"/>
          <w:sz w:val="20"/>
        </w:rPr>
        <w:t xml:space="preserve"> With all Phase 1 design artefacts completed, signed off, and ready to guide technical implementation, VONQ can confidently proceed to Phase 2 and maintain momentum toward its planned exit date.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Lasting Business Assets:</w:t>
      </w:r>
      <w:r>
        <w:rPr>
          <w:rFonts w:ascii="Arial" w:hAnsi="Arial"/>
          <w:b w:val="0"/>
          <w:i w:val="0"/>
          <w:color w:val="1D1C1C"/>
          <w:sz w:val="20"/>
        </w:rPr>
        <w:t xml:space="preserve"> The design foundations, including the conceptual data model and implementation roadmap, will establish lasting assets that support ongoing automation, scalability, and reporting enhancements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Transaction Readiness:</w:t>
      </w:r>
      <w:r>
        <w:rPr>
          <w:rFonts w:ascii="Arial" w:hAnsi="Arial"/>
          <w:b w:val="0"/>
          <w:i w:val="0"/>
          <w:color w:val="1D1C1C"/>
          <w:sz w:val="20"/>
        </w:rPr>
        <w:t xml:space="preserve"> The rapid delivery of a validated exit reporting suite enables VONQ to meet aggressive exit timelines, reducing the risk of deal delays and protecting business valuation during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Investor Communications:</w:t>
      </w:r>
      <w:r>
        <w:rPr>
          <w:rFonts w:ascii="Arial" w:hAnsi="Arial"/>
          <w:b w:val="0"/>
          <w:i w:val="0"/>
          <w:color w:val="1D1C1C"/>
          <w:sz w:val="20"/>
        </w:rPr>
        <w:t xml:space="preserve"> By aligning dashboards and KPI frameworks to equity narratives, the solution ensures that VONQ presents credible, consistent, and investor-ready data, enhancing trust and transparency with acquirers and advisors.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Automating the ingestion and recurring refresh of data from Finance, CRM, and ERP systems into the Qlik Warehouse streamlines reporting workflows and minimizes manual effort for finance and analytics teams, significantly reducing preparation time for investor materials.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Enhancement:</w:t>
      </w:r>
      <w:r>
        <w:rPr>
          <w:rFonts w:ascii="Arial" w:hAnsi="Arial"/>
          <w:b w:val="0"/>
          <w:i w:val="0"/>
          <w:color w:val="1D1C1C"/>
          <w:sz w:val="20"/>
        </w:rPr>
        <w:t xml:space="preserve"> Clearly defined KPI frameworks and data models support a robust equity narrative, helping to maximize perceived business value and improving VONQ’s negotiating position with potential buyers.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Future-Proofed Reporting Capability:</w:t>
      </w:r>
      <w:r>
        <w:rPr>
          <w:rFonts w:ascii="Arial" w:hAnsi="Arial"/>
          <w:b w:val="0"/>
          <w:i w:val="0"/>
          <w:color w:val="1D1C1C"/>
          <w:sz w:val="20"/>
        </w:rPr>
        <w:t xml:space="preserve"> The scalable, extensible data model and tooling recommendations lay the groundwork for post-transaction automation and seamless integration of new data sources, future-proofing VONQ’s reporting infrastructure and supporting long-term growth.</w:t>
      </w:r>
    </w:p>
    <w:p>
      <w:pPr>
        <w:spacing w:after="80"/>
      </w:pPr>
    </w:p>
    <w:p>
      <w:pPr>
        <w:spacing w:after="160" w:line="276" w:lineRule="auto"/>
      </w:pPr>
      <w:r>
        <w:rPr>
          <w:rFonts w:ascii="Arial" w:hAnsi="Arial"/>
          <w:b w:val="0"/>
          <w:i w:val="0"/>
          <w:color w:val="1D1C1C"/>
          <w:sz w:val="20"/>
        </w:rPr>
        <w:t>This engagement delivers substantial financial, operational, and strategic benefits by transforming VONQ’s exit reporting capabilities. The project not only prepares the business for near-term investor scrutiny but also establishes a scalable, efficient, and future-ready reporting foundation, directly supporting value creation and competitive advantage during and after the M&amp;A process.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