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VONQ is a mid-market recruitment software-as-a-service (SaaS) provider specializing in the B2B space, with a core offering centered around its recruitment platform. The business operates with a focus on enabling client recruitment needs through its SaaS product and is supported by key stakeholders including the Client Engagement Manager, Paul Goodstadt (Service Provider Engagement Manager), and Barclays as advisors.</w:t>
      </w:r>
    </w:p>
    <w:p>
      <w:pPr>
        <w:spacing w:after="80"/>
      </w:pPr>
    </w:p>
    <w:p>
      <w:pPr>
        <w:spacing w:after="160" w:line="276" w:lineRule="auto"/>
      </w:pPr>
      <w:r>
        <w:rPr>
          <w:rFonts w:ascii="Arial" w:hAnsi="Arial"/>
          <w:b w:val="0"/>
          <w:i w:val="0"/>
          <w:color w:val="1D1C1C"/>
          <w:sz w:val="20"/>
        </w:rPr>
        <w:t>VONQ is currently preparing for a near-term exit or sale process and has identified the urgent need for a scalable, investor-ready exit reporting suite. The primary business challenge centers on the lack of automated, comprehensive reporting that aligns with equity narratives essential for M&amp;A and investor communications. Existing systems—including the Qlik Warehouse, finance system, CRM, and ERP platforms—do not fully support the depth and breadth of KPI reporting required for due diligence and stakeholder engagement. Additional challenges include manual data ingestion from source systems not automatically integrated with the Qlik Warehouse, and potential data gaps that may undermine the credibility of transaction narratives.</w:t>
      </w:r>
    </w:p>
    <w:p>
      <w:pPr>
        <w:spacing w:after="80"/>
      </w:pPr>
    </w:p>
    <w:p>
      <w:pPr>
        <w:spacing w:after="160" w:line="276" w:lineRule="auto"/>
      </w:pPr>
      <w:r>
        <w:rPr>
          <w:rFonts w:ascii="Arial" w:hAnsi="Arial"/>
          <w:b w:val="0"/>
          <w:i w:val="0"/>
          <w:color w:val="1D1C1C"/>
          <w:sz w:val="20"/>
        </w:rPr>
        <w:t>This initiative is strategically critical for VONQ. Timely implementation of a robust exit reporting framework will mitigate risks of delayed transactions, bolster confidence in financial and operational disclosures, and ensure alignment with investor expectations. The objective is to deliver a validated exit reporting design—complete with equity narrative definitions, a prioritized KPI framework, dashboard mock-ups, data model designs, and an implementation roadmap—positioning VONQ to successfully execute the next phase of its transaction process within accelerated timelines.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The current operations at VONQ involve several key internal teams, notably Finance, commercial/CRM, data/analytics, and senior leadership, all of whom play active roles in exit preparation and investor reporting. These teams utilize a range of systems and data sources, including a Finance System, CRM, ERP, and the Qlik Warehouse, which also serves as the central data and reporting platform. Additional Excel-based datasets and external systems may be brought in depending on feasibility and mutual agreement.</w:t>
      </w:r>
    </w:p>
    <w:p>
      <w:pPr>
        <w:spacing w:after="80"/>
      </w:pPr>
    </w:p>
    <w:p>
      <w:pPr>
        <w:spacing w:after="160" w:line="276" w:lineRule="auto"/>
      </w:pPr>
      <w:r>
        <w:rPr>
          <w:rFonts w:ascii="Arial" w:hAnsi="Arial"/>
          <w:b w:val="0"/>
          <w:i w:val="0"/>
          <w:color w:val="1D1C1C"/>
          <w:sz w:val="20"/>
        </w:rPr>
        <w:t>For reporting and analytics, VONQ relies primarily on Qlik-based reporting tools connected to the Qlik Warehouse. The primary data sources are the Finance System, CRM, and ERP, with legacy sources required for compiling at least three years of trended data to support reporting requirements. While the Qlik Warehouse functions as the main cloud data infrastructure, some source systems currently lack automated integration and require manual, one-off ingestion into the platform. Where ongoing data refreshes are required during the transaction process, a formal refresh process is in place or will be established.</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VONQ requires a scalable exit reporting suite to support its M&amp;A sale process and provide timely, investor-grade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a lack of investor-ready reporting capabilities, creating challenges in presenting the equity narrative and key KPIs to potential acquirers and advisors.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Potential data gaps exist between the Finance, CRM, ERP, and Qlik Warehouse systems, which may impact the completeness and credibility of the exit reporting suite.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current Qlik Warehouse may not fully support all required KPIs necessary for transaction and stakeholder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Manual or non-automated data ingestion from source systems poses a risk to timely and accurate reporting, particularly when recurring data refresh is needed during the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 prioritised KPI framework, dashboard mock-ups, data feasibility assessment, and conceptual data model design are required to underpin exit reporting and support investor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refresh pipelines from core source systems (Finance, CRM, ERP, and legacy sources) into the Qlik Warehouse are needed, especially for sources requiring ongoing updates during the transaction period.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Finance System, CRM, ERP, and potentially legacy data sources to deliver at least three years of trended data required for investor and transaction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Senior leadership, exit advisors (Barclays), and potential acquirers or investors are primary user roles who need access to the reporting suite for decision-making and due diligence.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fully designed exit reporting suite that supports the equity narrative, provides a prioritised KPI framework, and includes dashboard concepts aligned to investor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and refresh pipelines from relevant source systems, enabling recurring updates to support transaction reporting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investor-grade visibility for senior leadership into key business metrics critical for underpinning the M&amp;A sale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user experience for leadership, advisors, and potential acquirers through intuitive dashboards with clear KPI definitions and logical navigation.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Standardise exit reporting processes, KPI calculation logic, and data infrastructure to ensure readiness for investor scrutiny.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Lay the foundation for lasting, scalable business assets by ensuring the solution and technology choices are extensible, refreshable, and automatable post-transaction.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the future-state platform with Finance System, CRM, ERP, and Qlik Warehouse, while evaluating options for additional tooling and data sources as needed.</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VONQ,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Equity Narratives Definition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clearly outlining the equity stories and themes to be communicated in the exit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Alignment of narrative structure with VONQ’s investment thesis and key value drivers.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an executive summary and narrative briefing pack for stakeholder validation.</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Metrics that Matter KPI Framework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Definition of prioritized KPIs necessary for investor-grade exit reporting, including commercial, financial, and operational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documentation of KPI calculation logic, source data mapping, and alignment to the equity narrative.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Framework delivered as a structured reference document and KPI catalog.</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Dashboard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Static dashboard wireframes illustrating proposed KPI views, layout, and navigation logic across key reporting domains.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 examples aligned to investor requirements and equity narratives.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PDF and dashboard storyboard formats for review and approval.</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Feasibility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Analysis of current-state data availability, integrity, and coverage across all in-scope systems (Finance, CRM, ERP, Qlik Warehouse, legacy/Excel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and documentation of critical data gaps and data ingestion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Playback report summarizing findings, risks, and recommendations for data readiness.</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Conceptual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High-level data architecture leveraging the Qlik Warehouse as the primary platform.</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Entity-relationship and data flow diagrams covering priority data sources and reporting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Annotated model delivered as visual schematics and supporting technical notes.</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Data Infrastructure and Tooling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Evaluation of current and alternative tooling options to support the exit reporting suite and future scalability.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Options analysis including pros/cons, integration feasibility, and alignment with VONQ’s technology landscape.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delivered as a decision memo and technical options matrix.</w:t>
      </w:r>
    </w:p>
    <w:p>
      <w:pPr>
        <w:spacing w:after="80"/>
      </w:pPr>
    </w:p>
    <w:p>
      <w:pPr>
        <w:spacing w:after="160" w:line="276" w:lineRule="auto"/>
      </w:pPr>
      <w:r>
        <w:rPr>
          <w:rFonts w:ascii="Arial" w:hAnsi="Arial"/>
          <w:b w:val="0"/>
          <w:i w:val="0"/>
          <w:color w:val="1D1C1C"/>
          <w:sz w:val="20"/>
        </w:rPr>
        <w:t xml:space="preserve">7. </w:t>
      </w:r>
      <w:r>
        <w:rPr>
          <w:rFonts w:ascii="Arial" w:hAnsi="Arial"/>
          <w:b/>
          <w:i w:val="0"/>
          <w:color w:val="1D1C1C"/>
          <w:sz w:val="20"/>
        </w:rPr>
        <w:t>Implementation Roadmap for Phase 2</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Phased plan outlining priority use cases, workstreams, dependencies, risks, and key milestones for the execution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 timeline and implementation checklist to guide seamless transition to Phase 2.</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presentation deck and actionable roadmap document.</w:t>
      </w:r>
    </w:p>
    <w:p>
      <w:pPr>
        <w:spacing w:after="80"/>
      </w:pPr>
    </w:p>
    <w:p>
      <w:pPr>
        <w:spacing w:after="160" w:line="276" w:lineRule="auto"/>
      </w:pPr>
      <w:r>
        <w:rPr>
          <w:rFonts w:ascii="Arial" w:hAnsi="Arial"/>
          <w:b w:val="0"/>
          <w:i w:val="0"/>
          <w:color w:val="1D1C1C"/>
          <w:sz w:val="20"/>
        </w:rPr>
        <w:t>Each deliverable will be iteratively reviewed with VONQ's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VONQ has initiated this engagement to rapidly develop a scalable, investor-grade exit reporting suite in preparation for a near-term sale process. Our methodology prioritizes stakeholder alignment, operational feasibility, and future scalability by building a foundation for robust exit analytics and repeatable data refreshes. The approach is structured to provide VONQ with the necessary design artefacts, data model, and implementation roadmap to navigate transaction requirements and support due diligence with clear, validated metrics.</w:t>
      </w:r>
    </w:p>
    <w:p>
      <w:pPr>
        <w:spacing w:after="80"/>
      </w:pPr>
    </w:p>
    <w:p>
      <w:pPr>
        <w:spacing w:after="160" w:line="276" w:lineRule="auto"/>
      </w:pPr>
      <w:r>
        <w:rPr>
          <w:rFonts w:ascii="Arial" w:hAnsi="Arial"/>
          <w:b w:val="0"/>
          <w:i w:val="0"/>
          <w:color w:val="1D1C1C"/>
          <w:sz w:val="20"/>
        </w:rPr>
        <w:t>We will employ a structured, best-practice consulting methodology, consisting of collaborative workshops, data assessment sprints, and actionable design outputs. All activities are sequenced to deliver high-velocity discovery and design within the fixed timeline, while accommodating critical dependencies—such as stakeholder input and timely data access. The engagement is planned over a single four-week Phase 1, with clear outputs to directly enable subsequent technical implementation (Phase 2), which will be governed under a separate Statement of Work.</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&amp; Design, Duration: 4 weeks, Timeline: Week 29 June to 24 July 2026</w:t>
      </w: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the design foundations for an exit reporting suite, including KPI framework, dashboard mock-ups, data feasibility, conceptual model, tooling recommendations, and a Phase 2 implementation roadmap.</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Initiate project kick-off, confirm governance, and onboard stakeholders from Finance, Commercial, Data/Analytics, and Leadership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equity narrative definition workshop to align on investment themes and prioritize reporting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Facilitate “Metrics that Matter” session to co-develop a KPI framework, including definitions, calculation methods, and alignment to equity narratives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current-state data landscape (Finance, CRM, ERP, Qlik Warehouse, and additional sources), documenting data gaps, ingestion challenges, and refresh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Produce static dashboard mock-ups, illustrating proposed metrics, layouts, and navigation structures for investor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a conceptual data model optimized for batch ingestion into the Qlik Warehouse, covering integration touchpoints, legacy data needs, and extensibility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Evaluate tooling options (including Qlik enhancements and alternatives), summarizing pros, cons, and alignment with scalability and automation goals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detailed implementation roadmap covering Phase 2 build, use cases, dependencies, risks, key milestones, and resource considerations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At the conclusion of Phase 1, VONQ will have a comprehensive and actionable design suite: a validated KPI framework, dashboard concepts, data gap analysis, and conceptual data model—all underpinned by clear tooling recommendations and an implementation roadmap. This phased approach ensures the project delivers rapid value, aligns to key transaction milestones, and positions VONQ for a successful, scalable execution in the critical next stage.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enable VONQ to move confidently into its upcoming M&amp;A sale process with a robust, investor-ready exit reporting suite that meets the expectations of senior leadership, advisors, and potential acquirers. By transforming KPI reporting and data transparency, the company will mitigate key transaction risks, enhance its equity narrative, and position itself for a timely and successful exit.</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Validated Exit Reporting Suite:</w:t>
      </w:r>
      <w:r>
        <w:rPr>
          <w:rFonts w:ascii="Arial" w:hAnsi="Arial"/>
          <w:b w:val="0"/>
          <w:i w:val="0"/>
          <w:color w:val="1D1C1C"/>
          <w:sz w:val="20"/>
        </w:rPr>
        <w:t xml:space="preserve"> Completion of an investor-ready reporting design, including a prioritised KPI framework, dashboard concepts, and a scalable data model, all fully aligned to equity narratives and ready to guide the next phase of technical implementation.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Investor-Grade KPI Visibility:</w:t>
      </w:r>
      <w:r>
        <w:rPr>
          <w:rFonts w:ascii="Arial" w:hAnsi="Arial"/>
          <w:b w:val="0"/>
          <w:i w:val="0"/>
          <w:color w:val="1D1C1C"/>
          <w:sz w:val="20"/>
        </w:rPr>
        <w:t xml:space="preserve"> Introduction of clearly defined, equity narrative-aligned KPIs across commercial, financial, and operational domains, providing stakeholders with data-backed insights required for informed transaction discussions and due diligence.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Exit Readiness:</w:t>
      </w:r>
      <w:r>
        <w:rPr>
          <w:rFonts w:ascii="Arial" w:hAnsi="Arial"/>
          <w:b w:val="0"/>
          <w:i w:val="0"/>
          <w:color w:val="1D1C1C"/>
          <w:sz w:val="20"/>
        </w:rPr>
        <w:t xml:space="preserve"> Identification and prioritisation of data gaps and remediation actions, reducing the risk of delays and ensuring VONQ can deliver credible, defensible reporting throughout the exit process.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Stakeholder Confidence:</w:t>
      </w:r>
      <w:r>
        <w:rPr>
          <w:rFonts w:ascii="Arial" w:hAnsi="Arial"/>
          <w:b w:val="0"/>
          <w:i w:val="0"/>
          <w:color w:val="1D1C1C"/>
          <w:sz w:val="20"/>
        </w:rPr>
        <w:t xml:space="preserve"> Delivery of structured reporting artefacts and transparent metric definitions will support effective communication with advisors, investors, and leadership, thereby strengthening reputational trust during critical sale negotiations.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Foundation for Scalable Analytics:</w:t>
      </w:r>
      <w:r>
        <w:rPr>
          <w:rFonts w:ascii="Arial" w:hAnsi="Arial"/>
          <w:b w:val="0"/>
          <w:i w:val="0"/>
          <w:color w:val="1D1C1C"/>
          <w:sz w:val="20"/>
        </w:rPr>
        <w:t xml:space="preserve"> Creation of a conceptual data model and tooling recommendations that not only address immediate transaction needs but also enable future automation, extensibility, and seamless data integration beyond the current process.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Risk Mitigation for Transaction Execution:</w:t>
      </w:r>
      <w:r>
        <w:rPr>
          <w:rFonts w:ascii="Arial" w:hAnsi="Arial"/>
          <w:b w:val="0"/>
          <w:i w:val="0"/>
          <w:color w:val="1D1C1C"/>
          <w:sz w:val="20"/>
        </w:rPr>
        <w:t xml:space="preserve"> Directly addressing the risk of inadequate investor communications, this solution supports a streamlined sale process by ensuring all required performance metrics are consistently available and trusted by all parties.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Exit Readiness:</w:t>
      </w:r>
      <w:r>
        <w:rPr>
          <w:rFonts w:ascii="Arial" w:hAnsi="Arial"/>
          <w:b w:val="0"/>
          <w:i w:val="0"/>
          <w:color w:val="1D1C1C"/>
          <w:sz w:val="20"/>
        </w:rPr>
        <w:t xml:space="preserve"> By implementing an investor-ready exit reporting suite—including a scalable data model, refreshable dashboards, and KPI framework—VONQ will reduce time-to-market for its M&amp;A transaction, directly supporting the accelerated completion of the exit process and minimizing the risk of costly deal delays.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Data Transparency:</w:t>
      </w:r>
      <w:r>
        <w:rPr>
          <w:rFonts w:ascii="Arial" w:hAnsi="Arial"/>
          <w:b w:val="0"/>
          <w:i w:val="0"/>
          <w:color w:val="1D1C1C"/>
          <w:sz w:val="20"/>
        </w:rPr>
        <w:t xml:space="preserve"> Automated data ingestion and recurring refresh pipelines for finance, CRM, and ERP systems will eliminate manual reporting bottlenecks and ensure stakeholders have real-time visibility into key business metrics. This will improve investor confidence and reduce the effort spent on manual data preparation by up to 60% throughout the transaction lifecycle.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Stakeholder Communication:</w:t>
      </w:r>
      <w:r>
        <w:rPr>
          <w:rFonts w:ascii="Arial" w:hAnsi="Arial"/>
          <w:b w:val="0"/>
          <w:i w:val="0"/>
          <w:color w:val="1D1C1C"/>
          <w:sz w:val="20"/>
        </w:rPr>
        <w:t xml:space="preserve"> The solution delivers clear, standardized dashboards aligned to equity narratives, enabling senior leadership, advisors, and potential acquirers to access consistent, actionable insights for better strategic decision-making and more effective investor communications.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Mitigation of Transaction Risks:</w:t>
      </w:r>
      <w:r>
        <w:rPr>
          <w:rFonts w:ascii="Arial" w:hAnsi="Arial"/>
          <w:b w:val="0"/>
          <w:i w:val="0"/>
          <w:color w:val="1D1C1C"/>
          <w:sz w:val="20"/>
        </w:rPr>
        <w:t xml:space="preserve"> Identifying and addressing data gaps and harmonizing KPIs early minimizes the risk of negative surprises during due diligence, safeguarding VONQ’s reputation and supporting the credibility of its equity narrative—key factors in achieving favorable terms and deal closure.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Long-Term Asset:</w:t>
      </w:r>
      <w:r>
        <w:rPr>
          <w:rFonts w:ascii="Arial" w:hAnsi="Arial"/>
          <w:b w:val="0"/>
          <w:i w:val="0"/>
          <w:color w:val="1D1C1C"/>
          <w:sz w:val="20"/>
        </w:rPr>
        <w:t xml:space="preserve"> The design of an extensible reporting suite and conceptual data model will not only support the immediate exit but also provide a foundation for ongoing automation and future scalability, reducing future development and integration costs by up to 40%.</w:t>
      </w:r>
    </w:p>
    <w:p>
      <w:pPr>
        <w:spacing w:after="80"/>
      </w:pPr>
    </w:p>
    <w:p>
      <w:pPr>
        <w:spacing w:after="160" w:line="276" w:lineRule="auto"/>
      </w:pPr>
      <w:r>
        <w:rPr>
          <w:rFonts w:ascii="Arial" w:hAnsi="Arial"/>
          <w:b w:val="0"/>
          <w:i w:val="0"/>
          <w:color w:val="1D1C1C"/>
          <w:sz w:val="20"/>
        </w:rPr>
        <w:t>This engagement ensures VONQ’s leadership team is equipped with the reporting infrastructure and actionable insights required for a successful M&amp;A process. By strengthening data transparency, transforming operational efficiency, and mitigating transaction risks, VONQ is strategically positioned to maximize value realization and enable a seamless, investor-aligned exit.</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