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VONQ operates in the mid-market recruitment SaaS industry, delivering a B2B software-as-a-service platform focused on advanced recruitment solutions. Key business stakeholders involved in this engagement include a Client Engagement Manager (to be confirmed), Paul Goodstadt (Service Provider Engagement Manager), and Barclays acting as the client’s advisors. VONQ’s current initiatives are driven by preparations for a near-term exit and sale process, requiring enhanced reporting capabilities to support transaction-related communications.</w:t>
      </w:r>
    </w:p>
    <w:p>
      <w:pPr>
        <w:spacing w:after="80"/>
      </w:pPr>
    </w:p>
    <w:p>
      <w:pPr>
        <w:spacing w:after="160" w:line="276" w:lineRule="auto"/>
      </w:pPr>
      <w:r>
        <w:rPr>
          <w:rFonts w:ascii="Arial" w:hAnsi="Arial"/>
          <w:b w:val="0"/>
          <w:i w:val="0"/>
          <w:color w:val="1D1C1C"/>
          <w:sz w:val="20"/>
        </w:rPr>
        <w:t>The central business challenge for VONQ is the absence of investor-ready reporting, with identified data gaps across critical source systems and limitations in the existing Qlik Warehouse, which does not fully support all KPIs necessary for shaping an effective equity narrative. Finance, commercial/CRM, data/analytics, and senior leadership teams are all impacted by these shortcomings, specifically as they relate to exit preparation and investor reporting. Integration challenges also persist, particularly in automating data flows from the Finance System, CRM, and ERP into the Qlik Warehouse. Immediate needs include a scalable, refreshable exit reporting suite composed of a data cube, interactive dashboards, and documentation, with a clear focus on enabling recurring, transaction-driven updates.</w:t>
      </w:r>
    </w:p>
    <w:p>
      <w:pPr>
        <w:spacing w:after="80"/>
      </w:pPr>
    </w:p>
    <w:p>
      <w:pPr>
        <w:spacing w:after="160" w:line="276" w:lineRule="auto"/>
      </w:pPr>
      <w:r>
        <w:rPr>
          <w:rFonts w:ascii="Arial" w:hAnsi="Arial"/>
          <w:b w:val="0"/>
          <w:i w:val="0"/>
          <w:color w:val="1D1C1C"/>
          <w:sz w:val="20"/>
        </w:rPr>
        <w:t>Strategically, this initiative is critical for VONQ; without credible, data-backed equity narratives and robust investor-grade insights, there is significant risk of transaction delays or reputational impact with advisors and prospective buyers. The outputs from this phase—equity narrative definition, prioritised KPI framework, dashboard mock-ups, conceptual data model, and tooling recommendations—are intended to become lasting business assets that ensure readiness for investor scrutiny and support VONQ’s successful exit. The solution will ultimately enable post-transaction automation and scalable integration with key platforms, aligning with the company’s long-term vision for sustained growth and operational transparency.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VONQ’s current operational landscape in preparation for the exit process involves several core teams, notably finance, commercial/CRM, data/analytics, and senior leadership. These teams are actively engaged with existing processes for exit preparation and investor reporting. Their activities are supported by multiple business systems and platforms, including the Finance System, CRM, ERP, and the Qlik Warehouse, which serves as the primary data platform.</w:t>
      </w:r>
    </w:p>
    <w:p>
      <w:pPr>
        <w:spacing w:after="80"/>
      </w:pPr>
    </w:p>
    <w:p>
      <w:pPr>
        <w:spacing w:after="160" w:line="276" w:lineRule="auto"/>
      </w:pPr>
      <w:r>
        <w:rPr>
          <w:rFonts w:ascii="Arial" w:hAnsi="Arial"/>
          <w:b w:val="0"/>
          <w:i w:val="0"/>
          <w:color w:val="1D1C1C"/>
          <w:sz w:val="20"/>
        </w:rPr>
        <w:t>Reporting and analytics functionalities are principally delivered through Qlik-based reporting tools and the Qlik Warehouse. Data utilized for operational and investor-reporting purposes is sourced from Finance, CRM, ERP, and the Qlik Warehouse, with legacy sources providing historical, trended data for a minimum of three years as required. Additional Excel-based datasets and external systems may be considered depending on feasibility and agreement with stakeholders. The integration of source systems into the Qlik Warehouse currently faces challenges, as some sources lack automated connections and require manual one-off ingestion. For sources necessitating recurring updates during the transaction, processes for data refresh are to be established, ensuring reporting continuity.</w:t>
      </w:r>
    </w:p>
    <w:p>
      <w:pPr>
        <w:spacing w:after="80"/>
      </w:pPr>
    </w:p>
    <w:p>
      <w:pPr>
        <w:spacing w:after="160" w:line="276" w:lineRule="auto"/>
      </w:pPr>
      <w:r>
        <w:rPr>
          <w:rFonts w:ascii="Arial" w:hAnsi="Arial"/>
          <w:b w:val="0"/>
          <w:i w:val="0"/>
          <w:color w:val="1D1C1C"/>
          <w:sz w:val="20"/>
        </w:rPr>
        <w:t>The present cloud infrastructure centers on the Qlik Warehouse, which underpins data storage and analytics operations. While manual processes have not been specified in detail, integration challenges related to automated data feeds remain a material aspect of the current state, affecting both reporting cadence and data accuracy.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VONQ needs to design and build a scalable exit reporting suite that supports the M&amp;A sale process and meets investor communication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a lack of investor-ready reporting, with potential data gaps across various source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current Qlik Warehouse may not fully support all KPIs required to articulate the equity narrative for the exit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 of Finance System, CRM, and ERP data into the Qlik Warehouse is required, including the use of legacy sources to enable at least three years of trended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ingestion and refresh pipelines from source systems into the Qlik Warehouse need to be automated, especially for sources requiring frequent updates during the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Key requirements include equity narrative definition, a prioritized KPI framework, dashboard mock-ups, data feasibility assessment, conceptual data model design, and tooling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intended user base includes senior leadership, exit advisors (Barclays), and potential acquirers or investors who require investor-grade, transparent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a dependency on timely data access, the availability of stakeholders for workshops, and the quality and completeness of existing Qlik Warehouse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fully designed exit reporting suite that supports clear equity narratives and prioritised KPI frameworks for investor communication.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automated and refreshable data ingestion pipelines from key source systems to ensure timely and accurate transaction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senior leadership and stakeholders with investor-grade visibility into business metrics directly aligned to the equity narrative.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intuitive, user-friendly dashboards with well-defined KPIs, calculation logic, and structured navigation to improve stakeholder experience.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Standardise exit reporting processes and enhance data infrastructure readiness for rigorous investor scrutiny.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a scalable data model and reporting suite extensible to additional data sources and able to support ongoing refresh needs beyond the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integration of Finance System, CRM, ERP, and Qlik Warehouse, with options for alternative tooling assessed for long-term scalability.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VONQ,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Equity Narratives Definition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 clear articulation of VONQ’s equity stories, aligned with key value drivers for the exit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stakeholder-validated positioning statements for use in M&amp;A and investor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a presentation deck and reference document by end of Week 1.</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Metrics that Matter KPI Framework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 prioritized framework of critical KPIs spanning commercial, financial, and operational dimensions.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Definitions, calculation logic, and mapping of each KPI to the relevant equity narrative.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Excel-based KPI register and supporting documentation, provided by end of Week 2.</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Dashboard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Static wireframes illustrating the proposed dashboard layouts, visualizations, and navigation structure.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Alignment of dashboard views to user personas, reporting needs, and key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annotated PDF or clickable prototype by end of Week 3.</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Feasibility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review and playback of current-state data architecture, availability, and data quality across all in-scope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documentation of data gaps and remediation priorities for exit reporting readiness.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Summary report and findings presentation, delivered during Week 2 stakeholder workshops.</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Conceptual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 scalable, high-level data model diagram tailored to VONQ’s reporting and integration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Description of data flows from source systems (Finance, CRM, ERP, legacy sources) to the Qlik Warehouse.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technical schematic and supporting documentation by end of Week 3.</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Data Infrastructure and Tooling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Assessment of current infrastructure and proposed options for enhancements or alternative tools required for exit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Trade-off analysis of tooling scenarios, covering pros and cons, scalability, and future extensibility.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document and decision matrix, delivered in Week 3.</w:t>
      </w:r>
    </w:p>
    <w:p>
      <w:pPr>
        <w:spacing w:after="80"/>
      </w:pPr>
    </w:p>
    <w:p>
      <w:pPr>
        <w:spacing w:after="160" w:line="276" w:lineRule="auto"/>
      </w:pPr>
      <w:r>
        <w:rPr>
          <w:rFonts w:ascii="Arial" w:hAnsi="Arial"/>
          <w:b w:val="0"/>
          <w:i w:val="0"/>
          <w:color w:val="1D1C1C"/>
          <w:sz w:val="20"/>
        </w:rPr>
        <w:t xml:space="preserve">7. </w:t>
      </w:r>
      <w:r>
        <w:rPr>
          <w:rFonts w:ascii="Arial" w:hAnsi="Arial"/>
          <w:b/>
          <w:i w:val="0"/>
          <w:color w:val="1D1C1C"/>
          <w:sz w:val="20"/>
        </w:rPr>
        <w:t>Implementation Roadmap for Phase 2</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actionable roadmap for the build and deployment phase, outlining priority use cases, dependencies, risks, and key milestones.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Phased plan including preliminary resource estimates, sequencing, and timelines to support a successful transition to Phase 2.</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Gantt chart and planning document by end of Week 4.</w:t>
      </w:r>
    </w:p>
    <w:p>
      <w:pPr>
        <w:spacing w:after="80"/>
      </w:pPr>
    </w:p>
    <w:p>
      <w:pPr>
        <w:spacing w:after="160" w:line="276" w:lineRule="auto"/>
      </w:pPr>
      <w:r>
        <w:rPr>
          <w:rFonts w:ascii="Arial" w:hAnsi="Arial"/>
          <w:b w:val="0"/>
          <w:i w:val="0"/>
          <w:color w:val="1D1C1C"/>
          <w:sz w:val="20"/>
        </w:rPr>
        <w:t>Each deliverable will be iteratively reviewed with VONQ's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with VONQ is designed to deliver a fit-for-purpose exit reporting suite that empowers senior leadership and stakeholders to showcase investor-ready business metrics and narratives during a near-term M&amp;A transaction. Our methodology leverages a structured, design-led approach that ensures all critical reporting and data infrastructure requirements are identified, assessed, and addressed prior to the technical build-out in Phase 2. By focusing on discovery, design artefacts, and roadmap development, we provide a robust foundation that enables seamless execution and stakeholder alignment.</w:t>
      </w:r>
    </w:p>
    <w:p>
      <w:pPr>
        <w:spacing w:after="80"/>
      </w:pPr>
    </w:p>
    <w:p>
      <w:pPr>
        <w:spacing w:after="160" w:line="276" w:lineRule="auto"/>
      </w:pPr>
      <w:r>
        <w:rPr>
          <w:rFonts w:ascii="Arial" w:hAnsi="Arial"/>
          <w:b w:val="0"/>
          <w:i w:val="0"/>
          <w:color w:val="1D1C1C"/>
          <w:sz w:val="20"/>
        </w:rPr>
        <w:t>The project follows a phased strategy, beginning with an intensive Discovery &amp; Design phase. This phase spans four weeks and includes interactive workshops, stakeholder engagement, and targeted analysis to produce design artefacts such as equity narratives, KPI frameworks, dashboard mock-ups, a conceptual data model, and tooling recommendations. These outputs are intended to inform subsequent technical development in Phase 2, ensuring scalability, automation, and alignment to business objectives.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Design, Duration: 4 weeks, Timeline: Week 1 (29 June 2026) to Week 4 (24 July 2026)</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defines VONQ’s exit reporting requirements, develops investor-centric narratives, and produces design artefacts and a comprehensive implementation roadmap.</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initial stakeholder interviews and workshops to capture business priorities, exit narrative requirements, and key data considerations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Perform a data feasibility assessment of Finance, CRM, ERP, and Qlik Warehouse systems, identifying data gaps, integration challenges, and source completeness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equity narrative frameworks tailored to M&amp;A needs, including validated positioning statements for advisor and stakeholder use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a prioritised KPI framework and calculation logic aligned with commercial, financial, and operational metrics required for investor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Produce static dashboard mock-ups illustrating proposed metrics, layout, and navigation structure, ensuring clarity and usability for target personas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Draft a conceptual data model using Qlik Warehouse as the foundation, with recommendations for tooling and infrastructure to support scalability and automation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an actionable implementation roadmap detailing key milestones, dependencies, risks, and Phase 2 scope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The phased approach ensures VONQ receives a comprehensive, investor-ready reporting solution aligned to the exit timeline and business priorities. By focusing on stakeholder-driven design and actionable deliverables, the engagement lays the groundwork for technical execution, future scalability, and sustained business value throughout the transaction process and beyond.</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engagement with VONQ will yield measurable enhancements in the organization’s ability to present investor-grade business insights and data-driven equity narratives throughout the M&amp;A exit process. By delivering a validated and scalable exit reporting suite, senior leadership and key stakeholders will gain unprecedented visibility into business performance, supporting timely, credible decision-making and effective communication with advisors and potential acquirers. These outcomes will position VONQ for a confident and accelerated transaction process, reducing risks and optimizing deal value.</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Investor-Ready Reporting Capabilities:</w:t>
      </w:r>
      <w:r>
        <w:rPr>
          <w:rFonts w:ascii="Arial" w:hAnsi="Arial"/>
          <w:b w:val="0"/>
          <w:i w:val="0"/>
          <w:color w:val="1D1C1C"/>
          <w:sz w:val="20"/>
        </w:rPr>
        <w:t xml:space="preserve"> VONQ will have a comprehensive exit reporting suite, including an investor-aligned KPI framework and intuitive dashboard concepts, enabling clear, compelling presentations to acquirers and advisors.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Rigorous Equity Narrative Support:</w:t>
      </w:r>
      <w:r>
        <w:rPr>
          <w:rFonts w:ascii="Arial" w:hAnsi="Arial"/>
          <w:b w:val="0"/>
          <w:i w:val="0"/>
          <w:color w:val="1D1C1C"/>
          <w:sz w:val="20"/>
        </w:rPr>
        <w:t xml:space="preserve"> The newly designed solution will articulate and evidence key equity stories, establishing a robust foundation for investor communications and maximizing enterprise value through data-backed narratives.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Clear Data Gap Identification:</w:t>
      </w:r>
      <w:r>
        <w:rPr>
          <w:rFonts w:ascii="Arial" w:hAnsi="Arial"/>
          <w:b w:val="0"/>
          <w:i w:val="0"/>
          <w:color w:val="1D1C1C"/>
          <w:sz w:val="20"/>
        </w:rPr>
        <w:t xml:space="preserve"> The engagement will provide transparency into data deficiencies across source systems, allowing VONQ to proactively prioritize remediation efforts that are critical for transaction success.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Exit Process:</w:t>
      </w:r>
      <w:r>
        <w:rPr>
          <w:rFonts w:ascii="Arial" w:hAnsi="Arial"/>
          <w:b w:val="0"/>
          <w:i w:val="0"/>
          <w:color w:val="1D1C1C"/>
          <w:sz w:val="20"/>
        </w:rPr>
        <w:t xml:space="preserve"> By standardizing KPI definitions, automating data refresh processes, and establishing a scalable data model, VONQ will minimize transaction delays and reduce the risk of setbacks related to data readiness.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Future-Proof Data Infrastructure:</w:t>
      </w:r>
      <w:r>
        <w:rPr>
          <w:rFonts w:ascii="Arial" w:hAnsi="Arial"/>
          <w:b w:val="0"/>
          <w:i w:val="0"/>
          <w:color w:val="1D1C1C"/>
          <w:sz w:val="20"/>
        </w:rPr>
        <w:t xml:space="preserve"> The conceptual data model and roadmap will create a blueprint for ongoing automation and extensibility, ensuring lasting value from post-transaction reporting, and enabling seamless integration of new data sources as the business evolves.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Reduced Transaction Risk:</w:t>
      </w:r>
      <w:r>
        <w:rPr>
          <w:rFonts w:ascii="Arial" w:hAnsi="Arial"/>
          <w:b w:val="0"/>
          <w:i w:val="0"/>
          <w:color w:val="1D1C1C"/>
          <w:sz w:val="20"/>
        </w:rPr>
        <w:t xml:space="preserve"> A validated reporting design will mitigate risks of investor skepticism and reputational harm by ensuring accuracy, completeness, and credibility of all investor-facing materials.</w:t>
      </w:r>
    </w:p>
    <w:p>
      <w:pPr>
        <w:spacing w:after="80"/>
      </w:pPr>
    </w:p>
    <w:p>
      <w:pPr>
        <w:spacing w:after="160" w:line="276" w:lineRule="auto"/>
      </w:pPr>
      <w:r>
        <w:rPr>
          <w:rFonts w:ascii="Arial" w:hAnsi="Arial"/>
          <w:b w:val="0"/>
          <w:i w:val="0"/>
          <w:color w:val="1D1C1C"/>
          <w:sz w:val="20"/>
        </w:rPr>
        <w:t>Success will be measured by the completion and sign-off of Phase 1 design artefacts—KPI framework, dashboard mock-ups, data model, and implementation roadmap—positioning VONQ to launch Phase 2 within the required exit timeline and to meet the expectations of both internal and external stakeholders.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Exit Readiness:</w:t>
      </w:r>
      <w:r>
        <w:rPr>
          <w:rFonts w:ascii="Arial" w:hAnsi="Arial"/>
          <w:b w:val="0"/>
          <w:i w:val="0"/>
          <w:color w:val="1D1C1C"/>
          <w:sz w:val="20"/>
        </w:rPr>
        <w:t xml:space="preserve"> The validated design of a scalable exit reporting suite substantially compresses VONQ’s exit preparation timeline by ensuring all investor-required KPIs, dashboards, and supporting documentation are investor-ready within 4 weeks. This readiness minimizes the risk of sale process delays and positions VONQ to capitalize on favorable market conditions.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Financial Transparency for Stakeholder Confidence:</w:t>
      </w:r>
      <w:r>
        <w:rPr>
          <w:rFonts w:ascii="Arial" w:hAnsi="Arial"/>
          <w:b w:val="0"/>
          <w:i w:val="0"/>
          <w:color w:val="1D1C1C"/>
          <w:sz w:val="20"/>
        </w:rPr>
        <w:t xml:space="preserve"> By integrating data from Finance, CRM, ERP, and legacy sources into a single reporting framework, VONQ will deliver consistent, investor-grade visibility into financial and operational performance. This transparency supports stronger equity narratives, reducing due diligence friction and potentially increasing transaction valuation by clearly articulating business drivers.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Through Automation:</w:t>
      </w:r>
      <w:r>
        <w:rPr>
          <w:rFonts w:ascii="Arial" w:hAnsi="Arial"/>
          <w:b w:val="0"/>
          <w:i w:val="0"/>
          <w:color w:val="1D1C1C"/>
          <w:sz w:val="20"/>
        </w:rPr>
        <w:t xml:space="preserve"> The introduction of automated, refreshable data ingestion and recurring update pipelines (post-implementation) is designed to significantly reduce manual data preparation effort for transaction reporting. This efficiency not only lowers operational burden on Finance and Data teams but also improves accuracy and timeliness—key to supporting real-time advisor and buyer queries during the M&amp;A process.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Value Creation with Scalable Design:</w:t>
      </w:r>
      <w:r>
        <w:rPr>
          <w:rFonts w:ascii="Arial" w:hAnsi="Arial"/>
          <w:b w:val="0"/>
          <w:i w:val="0"/>
          <w:color w:val="1D1C1C"/>
          <w:sz w:val="20"/>
        </w:rPr>
        <w:t xml:space="preserve"> The conceptual data model and prioritized KPI framework are architected to be extensible to new data sources and additional metrics, future-proofing VONQ’s reporting suite for both immediate exit needs and long-term business intelligence. This strategic design ensures the reporting assets remain valuable and fully automatable post-transaction.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Competitive Positioning:</w:t>
      </w:r>
      <w:r>
        <w:rPr>
          <w:rFonts w:ascii="Arial" w:hAnsi="Arial"/>
          <w:b w:val="0"/>
          <w:i w:val="0"/>
          <w:color w:val="1D1C1C"/>
          <w:sz w:val="20"/>
        </w:rPr>
        <w:t xml:space="preserve"> Delivering clean, investor-aligned dashboards and robust equity narratives enhances VONQ’s credibility with potential acquirers and advisors. Addressing data gaps and standardizing KPI definitions directly mitigates reputational risk, presenting VONQ as a transparent, well-governed SaaS business ready for scale or integration.</w:t>
      </w:r>
    </w:p>
    <w:p>
      <w:pPr>
        <w:spacing w:after="80"/>
      </w:pPr>
    </w:p>
    <w:p>
      <w:pPr>
        <w:spacing w:after="160" w:line="276" w:lineRule="auto"/>
      </w:pPr>
      <w:r>
        <w:rPr>
          <w:rFonts w:ascii="Arial" w:hAnsi="Arial"/>
          <w:b w:val="0"/>
          <w:i w:val="0"/>
          <w:color w:val="1D1C1C"/>
          <w:sz w:val="20"/>
        </w:rPr>
        <w:t>These impacts collectively enable VONQ to proceed confidently through the M&amp;A process, equipping leadership with the timely, credible insights and flexible reporting infrastructure needed to execute a high-value exit. The Phase 1 outputs—KPI framework, dashboard mock-ups, data model, and implementation roadmap—lay a durable foundation for both immediate transaction success and future business growth.</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