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U.S.-based financial advisory and wealth management firm providing financial advisory services and asset management to individual clients. Operating under a B2C model, the firm focuses on helping clients grow and manage their assets through personalized financial planning and investment strategies. Key stakeholders include Jason Carver, Client Engagement Manager, and Lee Equity Partners, the firm’s investment partner.</w:t>
      </w:r>
    </w:p>
    <w:p>
      <w:pPr>
        <w:spacing w:after="80"/>
      </w:pPr>
    </w:p>
    <w:p>
      <w:pPr>
        <w:spacing w:after="160" w:line="276" w:lineRule="auto"/>
      </w:pPr>
      <w:r>
        <w:rPr>
          <w:rFonts w:ascii="Arial" w:hAnsi="Arial"/>
          <w:b w:val="0"/>
          <w:i w:val="0"/>
          <w:color w:val="1D1C1C"/>
          <w:sz w:val="20"/>
        </w:rPr>
        <w:t>The business is undertaking an initiative to enhance its Lead-to-AUM (L2A) pipeline and Customer Acquisition Cost (CAC) reporting. This effort is driven by the need for more granular visibility into the client journey from lead generation to assets under management and to better understand the return on marketing spend. The project will impact data, technology, and marketing teams responsible for pipeline and acquisition reporting.</w:t>
      </w:r>
    </w:p>
    <w:p>
      <w:pPr>
        <w:spacing w:after="80"/>
      </w:pPr>
    </w:p>
    <w:p>
      <w:pPr>
        <w:spacing w:after="160" w:line="276" w:lineRule="auto"/>
      </w:pPr>
      <w:r>
        <w:rPr>
          <w:rFonts w:ascii="Arial" w:hAnsi="Arial"/>
          <w:b w:val="0"/>
          <w:i w:val="0"/>
          <w:color w:val="1D1C1C"/>
          <w:sz w:val="20"/>
        </w:rPr>
        <w:t>PURE currently operates on a Microsoft-based data ecosystem, leveraging Salesforce, Tamarac, Azure Blob Storage, Microsoft Fabric, Azure Synapse, Power BI, and QuickBooks. The firm seeks to integrate these systems—particularly QuickBooks—to create a unified data model and automated reporting suite. The ultimate goal is to deliver accurate, scalable, and insightful L2A and CAC reporting that supports data-driven decision-making and strengthens leadership’s understanding of marketing effectiveness and pipeline performance.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current reporting environment spans multiple internal teams, primarily data, technology, and marketing, which collaborate to manage pipeline and customer acquisition reporting. These teams rely on a suite of interconnected systems including Salesforce, Tamarac, Azure Blob Storage, Microsoft Fabric, Azure Synapse, Power BI, and QuickBooks (pending integration).</w:t>
      </w:r>
    </w:p>
    <w:p>
      <w:pPr>
        <w:spacing w:after="80"/>
      </w:pPr>
    </w:p>
    <w:p>
      <w:pPr>
        <w:spacing w:after="160" w:line="276" w:lineRule="auto"/>
      </w:pPr>
      <w:r>
        <w:rPr>
          <w:rFonts w:ascii="Arial" w:hAnsi="Arial"/>
          <w:b w:val="0"/>
          <w:i w:val="0"/>
          <w:color w:val="1D1C1C"/>
          <w:sz w:val="20"/>
        </w:rPr>
        <w:t>The firm’s reporting and analytics are delivered through a Power BI reporting suite, drawing from several key data sources—Salesforce, Tamarac, Azure Blob Storage, and QuickBooks. Data is hosted and processed within Microsoft Fabric and Azure Synapse, forming the backbone of the existing cloud and data platform infrastructure.</w:t>
      </w:r>
    </w:p>
    <w:p>
      <w:pPr>
        <w:spacing w:after="80"/>
      </w:pPr>
    </w:p>
    <w:p>
      <w:pPr>
        <w:spacing w:after="160" w:line="276" w:lineRule="auto"/>
      </w:pPr>
      <w:r>
        <w:rPr>
          <w:rFonts w:ascii="Arial" w:hAnsi="Arial"/>
          <w:b w:val="0"/>
          <w:i w:val="0"/>
          <w:color w:val="1D1C1C"/>
          <w:sz w:val="20"/>
        </w:rPr>
        <w:t>While manual processes are not specified, integration challenges currently center on connecting and ingesting data from QuickBooks and ensuring data quality for customer acquisition cost reporting. Data governance policies and performance considerations have not been detailed in the available information.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limitations in its existing pipeline reporting by developing detailed Lead-to-AUM (L2A) and Customer Acquisition Cost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pain points include insufficient granularity in pipeline data and the absence of integrated CAC insights across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Inefficiencies in the current process are not specified but are implied through fragmented data and limited visibility into lead conversion and marketing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capabilities include an enhanced L2A and CAC data model, integration of QuickBooks data, and a Power BI reporting suite supported by data quality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workflows are needed for data ingestion and transformation to streamline L2A and CAC reporting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 roles include data and technology stakeholders, senior leadership, and marketing teams who rely on accurate and timely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and compliance requirements are not mentioned in the provided information.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comprehensive pipeline and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and reporting suite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reporting outputs.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journey—from lead generation through asset conversion—to inform strategic marketing and growth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through improved Power BI dashboards featuring standardized KPI definitions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and CAC tracking processes to support data‑driven decision‑making and scalable reporting capabilities aligned with Pure’s long‑term growth vision.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data platform is scalable and integrated across Salesforce, QuickBooks, Tamarac, and Azure Fabric to accommodate future data sources and reporting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mapping of KPIs to business objectives and reporting views to ensure consistent interpretation across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dimension dictionary outlining how metrics can be sliced by channel, campaign, and customer segment.</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(up to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prototypes of the L2A and CAC dashboards, illustrating layout, navigation, and key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Mock‑ups designed to reflect user experience improvements and standardized KPI visualization.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Serve as the blueprint for the subsequent build phase, ensuring stakeholder alignment on reporting design.</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L2A and CAC data model, defining entities, relationships, and data flows across Salesforce, QuickBooks, Tamarac, and Azure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documentation supporting scalability and integration with existing infrastructure.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data transformation logic and refresh cadence for automated reporting.</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current data completeness, quality, and integration readiness across all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inconsistent data elements impacting L2A and CAC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quality improvement actions.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technical solution for QuickBooks integration and automated data ingestion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batch processing architecture within Microsoft Fabric and Azure Synapse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dependencies, control points, and validation steps to ensure reliable data flow.</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timelines for the build and deployment phases.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Sequenced plan aligning technical tasks with business priorities and resource availability.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dependencies and risk mitigation strategies to support successful execution.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The engagement with </w:t>
      </w:r>
      <w:r>
        <w:rPr>
          <w:rFonts w:ascii="Arial" w:hAnsi="Arial"/>
          <w:b/>
          <w:i w:val="0"/>
          <w:color w:val="1D1C1C"/>
          <w:sz w:val="20"/>
        </w:rPr>
        <w:t>PURE FINANCIAL ADVISORS LLC</w:t>
      </w:r>
      <w:r>
        <w:rPr>
          <w:rFonts w:ascii="Arial" w:hAnsi="Arial"/>
          <w:b w:val="0"/>
          <w:i w:val="0"/>
          <w:color w:val="1D1C1C"/>
          <w:sz w:val="20"/>
        </w:rPr>
        <w:t xml:space="preserve"> is designed to address the firm’s specific challenges in achieving granular visibility across its Lead‑to‑AUM (L2A) and Customer Acquisition Cost (CAC) pipeline. Operating within the financial advisory and wealth management industry under a B2C model, Pure’s existing data ecosystem—spanning Salesforce, Tamarac, Azure Fabric, Synapse, and Power BI—provides a strong foundation for advanced reporting. This initiative builds upon that infrastructure to design and implement a unified data model and reporting suite that connects marketing performance to asset growth, enabling data‑driven decision‑making and improved ROI tracking.</w:t>
      </w:r>
    </w:p>
    <w:p>
      <w:pPr>
        <w:spacing w:after="80"/>
      </w:pPr>
    </w:p>
    <w:p>
      <w:pPr>
        <w:spacing w:after="160" w:line="276" w:lineRule="auto"/>
      </w:pPr>
      <w:r>
        <w:rPr>
          <w:rFonts w:ascii="Arial" w:hAnsi="Arial"/>
          <w:b w:val="0"/>
          <w:i w:val="0"/>
          <w:color w:val="1D1C1C"/>
          <w:sz w:val="20"/>
        </w:rPr>
        <w:t>Our structured, phased methodology ensures alignment with Pure’s business priorities and technical environment. Each phase builds logically on the previous one—from discovery and data assessment through model design and implementation planning—providing clear checkpoints for stakeholder validation and technical readiness. This approach balances speed and rigor, ensuring that the final solution is both scalable and deeply integrated with Pure’s existing Microsoft‑based data platform.</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Design &amp; Discovery, Duration: 3 weeks, Timeline: Week 0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foundation for the L2A and CAC reporting solution through data access, source assessment, and initial model and dashboard design.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Secure access to Salesforce, Tamarac, Azure Fabric, Synapse, and QuickBooks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technology, and marketing teams to confirm reporting requirements and KPI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data source review and gap assessment to identify missing or low‑quality data impacting CAC and pipeline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target‑state data model and define KPI calculation logic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high‑level Power BI mock‑ups (up to 8 views) to visualize priority reporting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technical approach for QuickBooks integration and automated data ingestion pipelines.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Implementation Planning &amp; Technical Design,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end‑state data model, confirm technical design, and develop a detailed implementation roadmap for the build phase.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Refine and finalize the L2A and CAC data model based on stakeholder feedback and mock‑up validation.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data cleaning and enrichment recommendations informed by the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detailed technical specifications for automated batch processing pipelines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integration approach for QuickBooks and Salesforce data ingestion and transformation.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outlining sequencing, dependencies,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the KPI Book, finalized Power BI mock‑ups, and technical documentation for build readiness.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PURE FINANCIAL ADVISORS LLC’s</w:t>
      </w:r>
      <w:r>
        <w:rPr>
          <w:rFonts w:ascii="Arial" w:hAnsi="Arial"/>
          <w:b w:val="0"/>
          <w:i w:val="0"/>
          <w:color w:val="1D1C1C"/>
          <w:sz w:val="20"/>
        </w:rPr>
        <w:t xml:space="preserve"> data platform and reporting capabilities are developed with precision, agility, and a clear focus on delivering measurable business outcomes. By progressing from discovery through design and implementation planning, the engagement provides a robust foundation for scalable, automated, and insight‑driven reporting aligned with stakeholder expectations and long‑term growth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 xml:space="preserve">This engagement will deliver measurable business impact for </w:t>
      </w:r>
      <w:r>
        <w:rPr>
          <w:rFonts w:ascii="Arial" w:hAnsi="Arial"/>
          <w:b/>
          <w:i w:val="0"/>
          <w:color w:val="1D1C1C"/>
          <w:sz w:val="20"/>
        </w:rPr>
        <w:t>PURE FINANCIAL ADVISORS LLC</w:t>
      </w:r>
      <w:r>
        <w:rPr>
          <w:rFonts w:ascii="Arial" w:hAnsi="Arial"/>
          <w:b w:val="0"/>
          <w:i w:val="0"/>
          <w:color w:val="1D1C1C"/>
          <w:sz w:val="20"/>
        </w:rPr>
        <w:t xml:space="preserve"> by enabling data‑driven visibility into marketing performance and client acquisition efficiency. Focused on developing a comprehensive Lead‑to‑AUM (L2A) and Customer Acquisition Cost (CAC) reporting suite, the initiative will empower leadership and marketing teams to make informed, ROI‑based decisions aligned with the firm’s B2C growth strategy and private equity stakeholder objectives.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Establishment of a unified L2A data model will provide end‑to‑end transparency into the client journey from lead generation through asset conversion, enabling precise measurement of conversion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Insights:</w:t>
      </w:r>
      <w:r>
        <w:rPr>
          <w:rFonts w:ascii="Arial" w:hAnsi="Arial"/>
          <w:b w:val="0"/>
          <w:i w:val="0"/>
          <w:color w:val="1D1C1C"/>
          <w:sz w:val="20"/>
        </w:rPr>
        <w:t xml:space="preserve"> Integration of QuickBooks and marketing data will deliver reliable CAC metrics, allowing leadership to assess marketing efficiency and optimize spend allocation across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Scalable Reporting:</w:t>
      </w:r>
      <w:r>
        <w:rPr>
          <w:rFonts w:ascii="Arial" w:hAnsi="Arial"/>
          <w:b w:val="0"/>
          <w:i w:val="0"/>
          <w:color w:val="1D1C1C"/>
          <w:sz w:val="20"/>
        </w:rPr>
        <w:t xml:space="preserve"> Implementation of automated data ingestion and transformation pipelines will ensure consistent, timely, and scalable reporting outputs that reduce manual effort and reporting lag.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Measurement:</w:t>
      </w:r>
      <w:r>
        <w:rPr>
          <w:rFonts w:ascii="Arial" w:hAnsi="Arial"/>
          <w:b w:val="0"/>
          <w:i w:val="0"/>
          <w:color w:val="1D1C1C"/>
          <w:sz w:val="20"/>
        </w:rPr>
        <w:t xml:space="preserve"> Enhanced Power BI dashboards will translate complex data into actionable insights, enabling data‑driven evaluation of campaign effectiveness and return on marketing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Data‑Driven Decision Making:</w:t>
      </w:r>
      <w:r>
        <w:rPr>
          <w:rFonts w:ascii="Arial" w:hAnsi="Arial"/>
          <w:b w:val="0"/>
          <w:i w:val="0"/>
          <w:color w:val="1D1C1C"/>
          <w:sz w:val="20"/>
        </w:rPr>
        <w:t xml:space="preserve"> Consolidated and accurate reporting will empower senior leadership and investment partners to make strategic growth decisions based on verified performance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Operational Risk from Data Gaps:</w:t>
      </w:r>
      <w:r>
        <w:rPr>
          <w:rFonts w:ascii="Arial" w:hAnsi="Arial"/>
          <w:b w:val="0"/>
          <w:i w:val="0"/>
          <w:color w:val="1D1C1C"/>
          <w:sz w:val="20"/>
        </w:rPr>
        <w:t xml:space="preserve"> Addressing data quality and integration dependencies will mitigate reporting inconsistencies, ensuring confidence in business performance insights and compliance with internal governance standards.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Establishes a unified Lead‑to‑AUM and Customer Acquisition Cost reporting suite, enabling leadership to directly link marketing spend to asset growth and optimize campaign allocation for higher return on investment.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Provides granular insight into the client journey from lead generation to AUM conversion, empowering data‑backed decisions that can improve conversion efficiency and accelerate revenue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and Automation:</w:t>
      </w:r>
      <w:r>
        <w:rPr>
          <w:rFonts w:ascii="Arial" w:hAnsi="Arial"/>
          <w:b w:val="0"/>
          <w:i w:val="0"/>
          <w:color w:val="1D1C1C"/>
          <w:sz w:val="20"/>
        </w:rPr>
        <w:t xml:space="preserve"> Automates data ingestion and transformation across Salesforce, QuickBooks, and Tamarac, reducing manual reporting effort and improving data refresh timeliness by an estimated 40–60%.</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Single Source of Truth for Performance Metrics:</w:t>
      </w:r>
      <w:r>
        <w:rPr>
          <w:rFonts w:ascii="Arial" w:hAnsi="Arial"/>
          <w:b w:val="0"/>
          <w:i w:val="0"/>
          <w:color w:val="1D1C1C"/>
          <w:sz w:val="20"/>
        </w:rPr>
        <w:t xml:space="preserve"> Delivers standardized KPI definitions and consistent reporting across marketing, data, and leadership teams, eliminating discrepancies and ensuring confidence in business performance metrics.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Builds a flexible, Microsoft Fabric‑based data platform that supports future data sources and reporting needs, ensuring scalability as Pure Financial Advisors expands its client base and service offerings.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Private Equity Value Enablement:</w:t>
      </w:r>
      <w:r>
        <w:rPr>
          <w:rFonts w:ascii="Arial" w:hAnsi="Arial"/>
          <w:b w:val="0"/>
          <w:i w:val="0"/>
          <w:color w:val="1D1C1C"/>
          <w:sz w:val="20"/>
        </w:rPr>
        <w:t xml:space="preserve"> Creates diligence‑grade, auditable reporting assets that align with Lee Equity Partners’ oversight requirements, strengthening transparency and readiness for future growth or transaction events.</w:t>
      </w:r>
    </w:p>
    <w:p>
      <w:pPr>
        <w:spacing w:after="80"/>
      </w:pPr>
    </w:p>
    <w:p>
      <w:pPr>
        <w:spacing w:after="160" w:line="276" w:lineRule="auto"/>
      </w:pPr>
      <w:r>
        <w:rPr>
          <w:rFonts w:ascii="Arial" w:hAnsi="Arial"/>
          <w:b w:val="0"/>
          <w:i w:val="0"/>
          <w:color w:val="1D1C1C"/>
          <w:sz w:val="20"/>
        </w:rPr>
        <w:t xml:space="preserve">By delivering these outcomes, this engagement will enable </w:t>
      </w:r>
      <w:r>
        <w:rPr>
          <w:rFonts w:ascii="Arial" w:hAnsi="Arial"/>
          <w:b/>
          <w:i w:val="0"/>
          <w:color w:val="1D1C1C"/>
          <w:sz w:val="20"/>
        </w:rPr>
        <w:t>PURE FINANCIAL ADVISORS LLC</w:t>
      </w:r>
      <w:r>
        <w:rPr>
          <w:rFonts w:ascii="Arial" w:hAnsi="Arial"/>
          <w:b w:val="0"/>
          <w:i w:val="0"/>
          <w:color w:val="1D1C1C"/>
          <w:sz w:val="20"/>
        </w:rPr>
        <w:t xml:space="preserve"> to transform its marketing and pipeline reporting into a strategic growth engine—driving smarter investment decisions, operational efficiency, and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