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 Background"/>
            <a:graphic xmlns:a="http://schemas.openxmlformats.org/drawingml/2006/main" xmlns:pic="http://schemas.openxmlformats.org/drawingml/2006/picture">
              <a:graphicData uri="http://schemas.openxmlformats.org/drawingml/2006/picture">
                <pic:pic>
                  <pic:nvPicPr>
                    <pic:cNvPr id="0" name="cover_background.jpg"/>
                    <pic:cNvPicPr/>
                  </pic:nvPicPr>
                  <pic:blipFill>
                    <a:blip r:embed="rId9"/>
                    <a:stretch>
                      <a:fillRect/>
                    </a:stretch>
                  </pic:blipFill>
                  <pic:spPr>
                    <a:xfrm>
                      <a:off x="0" y="0"/>
                      <a:ext cx="7560000" cy="10692000"/>
                    </a:xfrm>
                    <a:prstGeom prst="rect"/>
                  </pic:spPr>
                </pic:pic>
              </a:graphicData>
            </a:graphic>
          </wp:anchor>
        </w:drawing>
      </w:r>
    </w:p>
    <w:p>
      <w:pPr>
        <w:spacing w:after="0"/>
        <w:jc w:val="right"/>
      </w:pPr>
      <w:r>
        <w:drawing>
          <wp:inline xmlns:a="http://schemas.openxmlformats.org/drawingml/2006/main" xmlns:pic="http://schemas.openxmlformats.org/drawingml/2006/picture">
            <wp:extent cx="2880000" cy="2880000"/>
            <wp:docPr id="2" name="Picture 2"/>
            <wp:cNvGraphicFramePr>
              <a:graphicFrameLocks noChangeAspect="1"/>
            </wp:cNvGraphicFramePr>
            <a:graphic>
              <a:graphicData uri="http://schemas.openxmlformats.org/drawingml/2006/picture">
                <pic:pic>
                  <pic:nvPicPr>
                    <pic:cNvPr id="0" name="jman_logo_white.png"/>
                    <pic:cNvPicPr/>
                  </pic:nvPicPr>
                  <pic:blipFill>
                    <a:blip r:embed="rId10"/>
                    <a:stretch>
                      <a:fillRect/>
                    </a:stretch>
                  </pic:blipFill>
                  <pic:spPr>
                    <a:xfrm>
                      <a:off x="0" y="0"/>
                      <a:ext cx="2880000" cy="2880000"/>
                    </a:xfrm>
                    <a:prstGeom prst="rect"/>
                  </pic:spPr>
                </pic:pic>
              </a:graphicData>
            </a:graphic>
          </wp:inline>
        </w:drawing>
      </w:r>
    </w:p>
    <w:p>
      <w:pPr>
        <w:spacing w:after="4200"/>
      </w:pPr>
    </w:p>
    <w:p>
      <w:pPr>
        <w:pBdr>
          <w:bottom w:val="single" w:sz="4" w:space="4" w:color="FFFFFF"/>
        </w:pBdr>
        <w:spacing w:after="240"/>
      </w:pPr>
    </w:p>
    <w:p>
      <w:pPr>
        <w:spacing w:after="280"/>
      </w:pPr>
      <w:r>
        <w:rPr>
          <w:rFonts w:ascii="Arial" w:hAnsi="Arial"/>
          <w:b/>
          <w:i w:val="0"/>
          <w:color w:val="FF6196"/>
          <w:sz w:val="30"/>
        </w:rPr>
        <w:t>STATEMENT OF WORK BETWEEN</w:t>
      </w:r>
    </w:p>
    <w:p>
      <w:pPr>
        <w:spacing w:after="120"/>
      </w:pPr>
      <w:r>
        <w:rPr>
          <w:rFonts w:ascii="Arial" w:hAnsi="Arial"/>
          <w:b/>
          <w:i w:val="0"/>
          <w:color w:val="173845"/>
          <w:sz w:val="60"/>
        </w:rPr>
        <w:t>Client</w:t>
      </w:r>
    </w:p>
    <w:p>
      <w:pPr>
        <w:spacing w:after="120"/>
      </w:pPr>
      <w:r>
        <w:rPr>
          <w:rFonts w:ascii="Arial" w:hAnsi="Arial"/>
          <w:b w:val="0"/>
          <w:i/>
          <w:color w:val="808080"/>
          <w:sz w:val="32"/>
        </w:rPr>
        <w:t>And</w:t>
      </w:r>
    </w:p>
    <w:p>
      <w:pPr>
        <w:spacing w:after="0"/>
      </w:pPr>
      <w:r>
        <w:rPr>
          <w:rFonts w:ascii="Arial" w:hAnsi="Arial"/>
          <w:b/>
          <w:i w:val="0"/>
          <w:color w:val="173845"/>
          <w:sz w:val="60"/>
        </w:rPr>
        <w:t>JMAN Group</w:t>
      </w:r>
    </w:p>
    <w:p>
      <w:pPr>
        <w:sectPr>
          <w:pgSz w:w="11906" w:h="16838"/>
          <w:pgMar w:top="567" w:right="992" w:bottom="567" w:left="992" w:header="720" w:footer="720" w:gutter="0"/>
          <w:cols w:space="720"/>
          <w:docGrid w:linePitch="360"/>
        </w:sectPr>
      </w:pPr>
    </w:p>
    <w:p>
      <w:pPr>
        <w:tabs>
          <w:tab w:pos="578" w:val="left"/>
        </w:tabs>
        <w:spacing w:before="280" w:after="160"/>
        <w:ind w:left="578" w:hanging="578"/>
      </w:pPr>
      <w:r>
        <w:rPr>
          <w:rFonts w:ascii="Arial" w:hAnsi="Arial"/>
          <w:b/>
          <w:i w:val="0"/>
          <w:color w:val="19105B"/>
          <w:sz w:val="24"/>
        </w:rPr>
        <w:t>1</w:t>
        <w:tab/>
      </w:r>
      <w:r>
        <w:rPr>
          <w:rFonts w:ascii="Arial" w:hAnsi="Arial"/>
          <w:b/>
          <w:i w:val="0"/>
          <w:color w:val="19105B"/>
          <w:sz w:val="24"/>
        </w:rPr>
        <w:t>Business Context</w:t>
      </w:r>
    </w:p>
    <w:p>
      <w:pPr>
        <w:spacing w:after="80"/>
      </w:pPr>
    </w:p>
    <w:p>
      <w:pPr>
        <w:spacing w:after="160" w:line="276" w:lineRule="auto"/>
      </w:pPr>
      <w:r>
        <w:rPr>
          <w:rFonts w:ascii="Arial" w:hAnsi="Arial"/>
          <w:b w:val="0"/>
          <w:i w:val="0"/>
          <w:color w:val="1D1C1C"/>
          <w:sz w:val="20"/>
        </w:rPr>
        <w:t>PURE Financial Advisors LLC operates in the U.S. financial advisory and wealth management sector, providing clients with personalized financial advisory services and asset management solutions. The firm follows a B2C model, serving individual investors and households seeking expert guidance on asset growth and long-term financial planning. Key stakeholders include Jason Carver, Client Engagement Manager, and Lee Equity Partners, the firm’s investment partner.</w:t>
      </w:r>
    </w:p>
    <w:p>
      <w:pPr>
        <w:spacing w:after="80"/>
      </w:pPr>
    </w:p>
    <w:p>
      <w:pPr>
        <w:spacing w:after="160" w:line="276" w:lineRule="auto"/>
      </w:pPr>
      <w:r>
        <w:rPr>
          <w:rFonts w:ascii="Arial" w:hAnsi="Arial"/>
          <w:b w:val="0"/>
          <w:i w:val="0"/>
          <w:color w:val="1D1C1C"/>
          <w:sz w:val="20"/>
        </w:rPr>
        <w:t>PURE is initiating this project to strengthen its data-driven decision-making capabilities by enhancing Lead-to-AUM (L2A) pipeline and Customer Acquisition Cost (CAC) reporting. The current reporting environment offers limited granularity and lacks integrated insights into marketing effectiveness and conversion performance. By improving the L2A and CAC data model and automating data ingestion from systems such as Salesforce and QuickBooks, PURE aims to deliver more accurate, actionable intelligence on the journey from lead generation to managed assets. This initiative supports the company’s broader goal of achieving scalable, mature reporting capabilities that enable leadership to better evaluate marketing ROI and pipeline efficiency.</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2</w:t>
        <w:tab/>
      </w:r>
      <w:r>
        <w:rPr>
          <w:rFonts w:ascii="Arial" w:hAnsi="Arial"/>
          <w:b/>
          <w:i w:val="0"/>
          <w:color w:val="19105B"/>
          <w:sz w:val="24"/>
        </w:rPr>
        <w:t>Overview</w:t>
      </w:r>
    </w:p>
    <w:p>
      <w:pPr>
        <w:spacing w:after="80"/>
      </w:pPr>
    </w:p>
    <w:p>
      <w:pPr>
        <w:spacing w:after="160" w:line="276" w:lineRule="auto"/>
      </w:pPr>
      <w:r>
        <w:rPr>
          <w:rFonts w:ascii="Arial" w:hAnsi="Arial"/>
          <w:b w:val="0"/>
          <w:i w:val="0"/>
          <w:color w:val="1D1C1C"/>
          <w:sz w:val="20"/>
        </w:rPr>
        <w:t>PURE Financial Advisors’ current reporting environment spans multiple internal teams, primarily data, technology, and marketing, all of which contribute to pipeline and customer acquisition reporting. The firm operates a connected ecosystem built around Salesforce and Tamarac for client and pipeline management, Azure Blob Storage for data hosting, and Microsoft Fabric and Azure Synapse as the core data platforms. Power BI serves as the primary reporting and analytics tool, supporting existing dashboards and performance tracking across these systems.</w:t>
      </w:r>
    </w:p>
    <w:p>
      <w:pPr>
        <w:spacing w:after="80"/>
      </w:pPr>
    </w:p>
    <w:p>
      <w:pPr>
        <w:spacing w:after="160" w:line="276" w:lineRule="auto"/>
      </w:pPr>
      <w:r>
        <w:rPr>
          <w:rFonts w:ascii="Arial" w:hAnsi="Arial"/>
          <w:b w:val="0"/>
          <w:i w:val="0"/>
          <w:color w:val="1D1C1C"/>
          <w:sz w:val="20"/>
        </w:rPr>
        <w:t>Data sources currently include Salesforce, Tamarac, Azure Blob Storage, and QuickBooks, with the latter identified for upcoming integration. The infrastructure is cloud‑based, leveraging Microsoft Fabric and Synapse for data processing and storage. While manual processes are not specified, integration challenges exist around connecting and ingesting data from QuickBooks and ensuring data quality for customer acquisition cost reporting. Overall, PURE’s environment reflects a multi‑system data landscape anchored in Microsoft technologies and designed to support cross‑functional reporting needs.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3</w:t>
        <w:tab/>
      </w:r>
      <w:r>
        <w:rPr>
          <w:rFonts w:ascii="Arial" w:hAnsi="Arial"/>
          <w:b/>
          <w:i w:val="0"/>
          <w:color w:val="19105B"/>
          <w:sz w:val="24"/>
        </w:rPr>
        <w:t>Understanding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PURE seeks to address limited visibility into the full Lead‑to‑AUM (L2A) journey and Customer Acquisition Cost (CAC) performance within its current reporting environment.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Existing pipeline reporting lacks sufficient granularity and does not provide integrated CAC insights, constraining leadership’s ability to evaluate marketing ROI.</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Data ingestion and transformation processes are not yet automated, creating inefficiencies in maintaining accurate and timely L2A and CAC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 firm requires an enhanced L2A and CAC data model, improved Power BI reporting suite, and reliable data ingestion from QuickBooks to support comprehensive analysis.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Automated workflows are needed for data ingestion and transformation to reduce manual intervention and improve reporting consistency.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Primary users will include data and technology stakeholders, senior leadership, and marketing teams who rely on accurate performance metrics for decision‑making.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Mandatory integrations include Salesforce and QuickBooks to ensure complete visibility across lead management and financial data.</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Security and compliance requirements are not specified in the current documentation.</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4</w:t>
        <w:tab/>
      </w:r>
      <w:r>
        <w:rPr>
          <w:rFonts w:ascii="Arial" w:hAnsi="Arial"/>
          <w:b/>
          <w:i w:val="0"/>
          <w:color w:val="19105B"/>
          <w:sz w:val="24"/>
        </w:rPr>
        <w:t>Objectives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Establish a comprehensive Lead‑to‑AUM (L2A) and Customer Acquisition Cost (CAC) data model that delivers granular insights into pipeline performance and marketing ROI.</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 data ingestion, transformation, and reporting refresh processes to ensure consistent, timely, and accurate analytics.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 leadership with clear visibility into the full customer journey from lead generation through to assets under management.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Enhance Power BI dashboards with well‑defined KPIs and intuitive visualizations to improve user experience and decision‑making.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Build scalable reporting capabilities that support future data sources and evolving business needs, driving long‑term data maturity for PURE Financial Advisors.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5</w:t>
        <w:tab/>
      </w:r>
      <w:r>
        <w:rPr>
          <w:rFonts w:ascii="Arial" w:hAnsi="Arial"/>
          <w:b/>
          <w:i w:val="0"/>
          <w:color w:val="19105B"/>
          <w:sz w:val="24"/>
        </w:rPr>
        <w:t>Deliverables</w:t>
      </w:r>
    </w:p>
    <w:p>
      <w:pPr>
        <w:spacing w:after="80"/>
      </w:pPr>
    </w:p>
    <w:p>
      <w:pPr>
        <w:spacing w:after="160" w:line="276" w:lineRule="auto"/>
      </w:pPr>
      <w:r>
        <w:rPr>
          <w:rFonts w:ascii="Arial" w:hAnsi="Arial"/>
          <w:b w:val="0"/>
          <w:i w:val="0"/>
          <w:color w:val="1D1C1C"/>
          <w:sz w:val="20"/>
        </w:rPr>
        <w:t>Throughout the engagement with PURE Financial Advisors LLC, the following key deliverables and artifacts will be provided to ensure a comprehensive and actionable outcome aligned with the project objectives:</w:t>
      </w:r>
    </w:p>
    <w:p>
      <w:pPr>
        <w:spacing w:after="80"/>
      </w:pPr>
    </w:p>
    <w:p>
      <w:pPr>
        <w:spacing w:after="160" w:line="276" w:lineRule="auto"/>
      </w:pPr>
      <w:r>
        <w:rPr>
          <w:rFonts w:ascii="Arial" w:hAnsi="Arial"/>
          <w:b w:val="0"/>
          <w:i w:val="0"/>
          <w:color w:val="1D1C1C"/>
          <w:sz w:val="20"/>
        </w:rPr>
        <w:t xml:space="preserve">1. </w:t>
      </w:r>
      <w:r>
        <w:rPr>
          <w:rFonts w:ascii="Arial" w:hAnsi="Arial"/>
          <w:b/>
          <w:i w:val="0"/>
          <w:color w:val="1D1C1C"/>
          <w:sz w:val="20"/>
        </w:rPr>
        <w:t>KPI Book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Comprehensive documentation of Lead‑to‑AUM (L2A) and Customer Acquisition Cost (CAC) KPIs, including definitions, calculation logic, and data source mapping.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Alignment of KPI taxonomy with industry standards and PURE’s internal reporting framework to ensure consistency across dashboards.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Inclusion of dimension dictionary outlining key attributes for slicing and analyzing performance metrics.</w:t>
      </w:r>
    </w:p>
    <w:p>
      <w:pPr>
        <w:spacing w:after="80"/>
      </w:pPr>
    </w:p>
    <w:p>
      <w:pPr>
        <w:spacing w:after="160" w:line="276" w:lineRule="auto"/>
      </w:pPr>
      <w:r>
        <w:rPr>
          <w:rFonts w:ascii="Arial" w:hAnsi="Arial"/>
          <w:b w:val="0"/>
          <w:i w:val="0"/>
          <w:color w:val="1D1C1C"/>
          <w:sz w:val="20"/>
        </w:rPr>
        <w:t xml:space="preserve">2. </w:t>
      </w:r>
      <w:r>
        <w:rPr>
          <w:rFonts w:ascii="Arial" w:hAnsi="Arial"/>
          <w:b/>
          <w:i w:val="0"/>
          <w:color w:val="1D1C1C"/>
          <w:sz w:val="20"/>
        </w:rPr>
        <w:t>Power BI Mock‑Ups (up to 8 views)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Design of visual prototypes for the L2A and CAC reporting suite, capturing layout, structure, and functionality requirements.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Representation of priority metrics and insights to guide user experience and dashboard development.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Validation sessions with PURE’s data and marketing teams to confirm usability and alignment with reporting needs.</w:t>
      </w:r>
    </w:p>
    <w:p>
      <w:pPr>
        <w:spacing w:after="80"/>
      </w:pPr>
    </w:p>
    <w:p>
      <w:pPr>
        <w:spacing w:after="160" w:line="276" w:lineRule="auto"/>
      </w:pPr>
      <w:r>
        <w:rPr>
          <w:rFonts w:ascii="Arial" w:hAnsi="Arial"/>
          <w:b w:val="0"/>
          <w:i w:val="0"/>
          <w:color w:val="1D1C1C"/>
          <w:sz w:val="20"/>
        </w:rPr>
        <w:t xml:space="preserve">3. </w:t>
      </w:r>
      <w:r>
        <w:rPr>
          <w:rFonts w:ascii="Arial" w:hAnsi="Arial"/>
          <w:b/>
          <w:i w:val="0"/>
          <w:color w:val="1D1C1C"/>
          <w:sz w:val="20"/>
        </w:rPr>
        <w:t>Data Model Design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schema for the L2A and CAC data model, defining entities, relationships, and data flows across Salesforce, Tamarac, QuickBooks, and Azure Fabric.</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Documentation of transformation logic and data lineage to support automated ingestion and reporting.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Scalability considerations to accommodate future data sources and reporting enhancements.</w:t>
      </w:r>
    </w:p>
    <w:p>
      <w:pPr>
        <w:spacing w:after="80"/>
      </w:pPr>
    </w:p>
    <w:p>
      <w:pPr>
        <w:spacing w:after="160" w:line="276" w:lineRule="auto"/>
      </w:pPr>
      <w:r>
        <w:rPr>
          <w:rFonts w:ascii="Arial" w:hAnsi="Arial"/>
          <w:b w:val="0"/>
          <w:i w:val="0"/>
          <w:color w:val="1D1C1C"/>
          <w:sz w:val="20"/>
        </w:rPr>
        <w:t xml:space="preserve">4. </w:t>
      </w:r>
      <w:r>
        <w:rPr>
          <w:rFonts w:ascii="Arial" w:hAnsi="Arial"/>
          <w:b/>
          <w:i w:val="0"/>
          <w:color w:val="1D1C1C"/>
          <w:sz w:val="20"/>
        </w:rPr>
        <w:t>Data Gap Assessment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Evaluation of current data availability, completeness, and quality across all relevant systems.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Identification of missing or inconsistent data elements impacting L2A and CAC reporting accuracy.</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Recommendations for remediation and data quality improvement actions.</w:t>
      </w:r>
    </w:p>
    <w:p>
      <w:pPr>
        <w:spacing w:after="80"/>
      </w:pPr>
    </w:p>
    <w:p>
      <w:pPr>
        <w:spacing w:after="160" w:line="276" w:lineRule="auto"/>
      </w:pPr>
      <w:r>
        <w:rPr>
          <w:rFonts w:ascii="Arial" w:hAnsi="Arial"/>
          <w:b w:val="0"/>
          <w:i w:val="0"/>
          <w:color w:val="1D1C1C"/>
          <w:sz w:val="20"/>
        </w:rPr>
        <w:t xml:space="preserve">5. </w:t>
      </w:r>
      <w:r>
        <w:rPr>
          <w:rFonts w:ascii="Arial" w:hAnsi="Arial"/>
          <w:b/>
          <w:i w:val="0"/>
          <w:color w:val="1D1C1C"/>
          <w:sz w:val="20"/>
        </w:rPr>
        <w:t>Technical Approach Document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description of the technical architecture and integration strategy, including QuickBooks ingestion and transformation pipelines.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Specification of batch processing workflows within Microsoft Fabric and Azure Synapse environments.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Outline of automation, refresh cadence, and governance considerations for sustained reporting performance.</w:t>
      </w:r>
    </w:p>
    <w:p>
      <w:pPr>
        <w:spacing w:after="80"/>
      </w:pPr>
    </w:p>
    <w:p>
      <w:pPr>
        <w:spacing w:after="160" w:line="276" w:lineRule="auto"/>
      </w:pPr>
      <w:r>
        <w:rPr>
          <w:rFonts w:ascii="Arial" w:hAnsi="Arial"/>
          <w:b w:val="0"/>
          <w:i w:val="0"/>
          <w:color w:val="1D1C1C"/>
          <w:sz w:val="20"/>
        </w:rPr>
        <w:t xml:space="preserve">6. </w:t>
      </w:r>
      <w:r>
        <w:rPr>
          <w:rFonts w:ascii="Arial" w:hAnsi="Arial"/>
          <w:b/>
          <w:i w:val="0"/>
          <w:color w:val="1D1C1C"/>
          <w:sz w:val="20"/>
        </w:rPr>
        <w:t>Phase 3B Implementation Plan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Structured roadmap detailing activities, milestones, and dependencies for the build and deployment phase.</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Resource and timeline planning aligned with the 8–12‑week implementation window.</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Risk and dependency tracking to ensure smooth transition from design to execution.</w:t>
      </w:r>
    </w:p>
    <w:p>
      <w:pPr>
        <w:spacing w:after="80"/>
      </w:pPr>
    </w:p>
    <w:p>
      <w:pPr>
        <w:spacing w:after="160" w:line="276" w:lineRule="auto"/>
      </w:pPr>
      <w:r>
        <w:rPr>
          <w:rFonts w:ascii="Arial" w:hAnsi="Arial"/>
          <w:b w:val="0"/>
          <w:i w:val="0"/>
          <w:color w:val="1D1C1C"/>
          <w:sz w:val="20"/>
        </w:rPr>
        <w:t>Each deliverable will be iteratively reviewed with PURE Financial Advisors LLC's leadership and technical teams to ensure alignment with business goals and to incorporate feedback promptly. This structured approach guarantees transparency, accountability, and measurable value throughout the engagement lifecycle.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6</w:t>
        <w:tab/>
      </w:r>
      <w:r>
        <w:rPr>
          <w:rFonts w:ascii="Arial" w:hAnsi="Arial"/>
          <w:b/>
          <w:i w:val="0"/>
          <w:color w:val="19105B"/>
          <w:sz w:val="24"/>
        </w:rPr>
        <w:t>Approach</w:t>
      </w:r>
    </w:p>
    <w:p>
      <w:pPr>
        <w:spacing w:after="80"/>
      </w:pPr>
    </w:p>
    <w:p>
      <w:pPr>
        <w:spacing w:after="160" w:line="276" w:lineRule="auto"/>
      </w:pPr>
      <w:r>
        <w:rPr>
          <w:rFonts w:ascii="Arial" w:hAnsi="Arial"/>
          <w:b w:val="0"/>
          <w:i w:val="0"/>
          <w:color w:val="1D1C1C"/>
          <w:sz w:val="20"/>
        </w:rPr>
        <w:t>PURE Financial Advisors LLC operates in a highly competitive financial advisory and wealth management market, where data-driven insights into client acquisition and asset growth are critical to sustaining performance and optimizing marketing ROI. This engagement is designed to address PURE’s specific challenge of limited visibility into the Lead‑to‑AUM (L2A) pipeline and Customer Acquisition Cost (CAC) metrics by leveraging its existing Microsoft Fabric and Azure Synapse infrastructure. The approach builds on PURE’s current Salesforce, Tamarac, and Azure data ecosystem, introducing automated data ingestion from QuickBooks and a unified data model to deliver accurate, actionable reporting through Power BI.</w:t>
      </w:r>
    </w:p>
    <w:p>
      <w:pPr>
        <w:spacing w:after="80"/>
      </w:pPr>
    </w:p>
    <w:p>
      <w:pPr>
        <w:spacing w:after="160" w:line="276" w:lineRule="auto"/>
      </w:pPr>
      <w:r>
        <w:rPr>
          <w:rFonts w:ascii="Arial" w:hAnsi="Arial"/>
          <w:b w:val="0"/>
          <w:i w:val="0"/>
          <w:color w:val="1D1C1C"/>
          <w:sz w:val="20"/>
        </w:rPr>
        <w:t>The engagement follows a structured, phased methodology that ensures alignment with PURE’s business priorities, technical environment, and stakeholder expectations. Each phase builds upon the previous one—from discovery and data assessment through model design and implementation planning—ensuring that the final solution is both technically robust and strategically aligned with PURE’s growth objectives. This phased approach also allows for iterative validation with key stakeholders, ensuring that deliverables such as the KPI Book, Power BI mock‑ups, and data model design are refined and approved before moving into implementation.</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1: Discovery and Requirements Definition, Duration: 1 week, Timeline: Week 0 to Week 1</w:t>
      </w:r>
    </w:p>
    <w:p>
      <w:pPr>
        <w:spacing w:after="80"/>
      </w:pPr>
    </w:p>
    <w:p>
      <w:pPr>
        <w:spacing w:after="160" w:line="276" w:lineRule="auto"/>
      </w:pPr>
      <w:r>
        <w:rPr>
          <w:rFonts w:ascii="Arial" w:hAnsi="Arial"/>
          <w:b/>
          <w:i w:val="0"/>
          <w:color w:val="1D1C1C"/>
          <w:sz w:val="20"/>
        </w:rPr>
        <w:t>Summary:</w:t>
      </w:r>
      <w:r>
        <w:rPr>
          <w:rFonts w:ascii="Arial" w:hAnsi="Arial"/>
          <w:b w:val="0"/>
          <w:i w:val="0"/>
          <w:color w:val="1D1C1C"/>
          <w:sz w:val="20"/>
        </w:rPr>
        <w:t xml:space="preserve"> Establish foundational understanding of PURE’s current data landscape, reporting needs, and system dependencies to enable a focused and efficient design phase.</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kickoff and stakeholder alignment sessions with Data, Technology, and Marketing teams.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Review existing documentation for Microsoft Fabric, Azure Synapse, Salesforce, and Tamarac environments.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Confirm access to all relevant data sources and reporting assets.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Define project governance, meeting cadence, and communication protocols.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Validate scope boundaries, dependencies, and success criteria for the engagement.</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2: Current State Assessment and Data Source Analysis, Duration: 2 weeks, Timeline: Week 1 to Week 3</w:t>
      </w:r>
    </w:p>
    <w:p>
      <w:pPr>
        <w:spacing w:after="80"/>
      </w:pPr>
    </w:p>
    <w:p>
      <w:pPr>
        <w:spacing w:after="160" w:line="276" w:lineRule="auto"/>
      </w:pPr>
      <w:r>
        <w:rPr>
          <w:rFonts w:ascii="Arial" w:hAnsi="Arial"/>
          <w:b/>
          <w:i w:val="0"/>
          <w:color w:val="1D1C1C"/>
          <w:sz w:val="20"/>
        </w:rPr>
        <w:t>Summary:</w:t>
      </w:r>
      <w:r>
        <w:rPr>
          <w:rFonts w:ascii="Arial" w:hAnsi="Arial"/>
          <w:b w:val="0"/>
          <w:i w:val="0"/>
          <w:color w:val="1D1C1C"/>
          <w:sz w:val="20"/>
        </w:rPr>
        <w:t xml:space="preserve"> Assess existing data sources, data quality, and reporting processes to identify integration gaps and inform the target‑state data model design.</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Perform deep‑dive analysis of Salesforce, Tamarac, Azure Blob Storage, and QuickBooks data structures.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Evaluate data quality, completeness, and consistency across key L2A and CAC data points.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Identify integration challenges, particularly for QuickBooks ingestion.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Map current KPI logic and reporting flows to existing Power BI dashboards.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 data gaps and dependencies to inform the Data Gap Assessment deliverable.</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3: Data Model and KPI Design, Duration: 2 weeks, Timeline: Week 3 to Week 5</w:t>
      </w:r>
    </w:p>
    <w:p>
      <w:pPr>
        <w:spacing w:after="80"/>
      </w:pPr>
    </w:p>
    <w:p>
      <w:pPr>
        <w:spacing w:after="160" w:line="276" w:lineRule="auto"/>
      </w:pPr>
      <w:r>
        <w:rPr>
          <w:rFonts w:ascii="Arial" w:hAnsi="Arial"/>
          <w:b/>
          <w:i w:val="0"/>
          <w:color w:val="1D1C1C"/>
          <w:sz w:val="20"/>
        </w:rPr>
        <w:t>Summary:</w:t>
      </w:r>
      <w:r>
        <w:rPr>
          <w:rFonts w:ascii="Arial" w:hAnsi="Arial"/>
          <w:b w:val="0"/>
          <w:i w:val="0"/>
          <w:color w:val="1D1C1C"/>
          <w:sz w:val="20"/>
        </w:rPr>
        <w:t xml:space="preserve"> Design the target‑state L2A and CAC data model and define KPI logic to support accurate, scalable reporting.</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conceptual and logical data model designs aligned with PURE’s reporting objectives.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Define KPI formulas, data transformations, and source mappings for L2A and CAC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Validate data model design through iterative workshops with business and technical stakeholders.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Align on data governance and naming conventions to ensure consistency across reports.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Prepare the KPI Book documenting all metric definitions and data lineage.</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4: Power BI Mock‑ups and Reporting Design, Duration: 1 week, Timeline: Week 5 to Week 6</w:t>
      </w:r>
    </w:p>
    <w:p>
      <w:pPr>
        <w:spacing w:after="80"/>
      </w:pPr>
    </w:p>
    <w:p>
      <w:pPr>
        <w:spacing w:after="160" w:line="276" w:lineRule="auto"/>
      </w:pPr>
      <w:r>
        <w:rPr>
          <w:rFonts w:ascii="Arial" w:hAnsi="Arial"/>
          <w:b/>
          <w:i w:val="0"/>
          <w:color w:val="1D1C1C"/>
          <w:sz w:val="20"/>
        </w:rPr>
        <w:t>Summary:</w:t>
      </w:r>
      <w:r>
        <w:rPr>
          <w:rFonts w:ascii="Arial" w:hAnsi="Arial"/>
          <w:b w:val="0"/>
          <w:i w:val="0"/>
          <w:color w:val="1D1C1C"/>
          <w:sz w:val="20"/>
        </w:rPr>
        <w:t xml:space="preserve"> Translate the data model and KPI definitions into visual reporting concepts that demonstrate the end‑state user experience.</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Design up to eight Power BI mock‑ups focused on L2A and CAC reporting views.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Incorporate stakeholder feedback to refine dashboard layout, navigation, and visual hierarchy.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Ensure alignment between mock‑ups and KPI Book definitions.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Validate that reporting views address leadership’s need for granular marketing ROI insights.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Finalize mock‑ups for inclusion in the discovery deliverables package.</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5: Technical Approach and Implementation Planning, Duration: 2 weeks, Timeline: Week 6 to Week 8</w:t>
      </w:r>
    </w:p>
    <w:p>
      <w:pPr>
        <w:spacing w:after="80"/>
      </w:pPr>
    </w:p>
    <w:p>
      <w:pPr>
        <w:spacing w:after="160" w:line="276" w:lineRule="auto"/>
      </w:pPr>
      <w:r>
        <w:rPr>
          <w:rFonts w:ascii="Arial" w:hAnsi="Arial"/>
          <w:b/>
          <w:i w:val="0"/>
          <w:color w:val="1D1C1C"/>
          <w:sz w:val="20"/>
        </w:rPr>
        <w:t>Summary:</w:t>
      </w:r>
      <w:r>
        <w:rPr>
          <w:rFonts w:ascii="Arial" w:hAnsi="Arial"/>
          <w:b w:val="0"/>
          <w:i w:val="0"/>
          <w:color w:val="1D1C1C"/>
          <w:sz w:val="20"/>
        </w:rPr>
        <w:t xml:space="preserve"> Define the technical approach for QuickBooks integration, data pipeline automation, and roadmap for Phase 3B implementation.</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detailed technical approach for batch data ingestion and transformation within Microsoft Fabric.</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Define architecture for integrating QuickBooks with existing Azure Synapse and Power BI environments.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Outline automation strategy for data refresh and reporting updates.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Prepare the Phase 3B Implementation Plan, including sequencing, resourcing, and estimated timelines.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Consolidate all discovery deliverables—KPI Book, Data Model Design, Power BI Mock‑ups, and Technical Approach—into a final presentation for stakeholder approval.</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val="0"/>
          <w:i w:val="0"/>
          <w:color w:val="1D1C1C"/>
          <w:sz w:val="20"/>
        </w:rPr>
        <w:t>This structured, phased approach ensures that PURE Financial Advisors LLC’s enhanced reporting capabilities are developed with precision, agility, and a clear focus on delivering measurable business outcomes. By grounding each phase in stakeholder validation and technical rigor, the engagement will provide PURE with a scalable, automated, and insight‑driven foundation for future growth.</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7</w:t>
        <w:tab/>
      </w:r>
      <w:r>
        <w:rPr>
          <w:rFonts w:ascii="Arial" w:hAnsi="Arial"/>
          <w:b/>
          <w:i w:val="0"/>
          <w:color w:val="19105B"/>
          <w:sz w:val="24"/>
        </w:rPr>
        <w:t>Outcomes</w:t>
      </w:r>
    </w:p>
    <w:p>
      <w:pPr>
        <w:spacing w:after="80"/>
      </w:pPr>
    </w:p>
    <w:p>
      <w:pPr>
        <w:spacing w:after="160" w:line="276" w:lineRule="auto"/>
      </w:pPr>
      <w:r>
        <w:rPr>
          <w:rFonts w:ascii="Arial" w:hAnsi="Arial"/>
          <w:b w:val="0"/>
          <w:i w:val="0"/>
          <w:color w:val="1D1C1C"/>
          <w:sz w:val="20"/>
        </w:rPr>
        <w:t>This engagement will deliver measurable business impact and strategic value by enabling PURE Financial Advisors LLC to achieve data‑driven visibility into its Lead‑to‑AUM (L2A) pipeline and Customer Acquisition Cost (CAC) performance. The initiative aligns with PURE’s B2C financial advisory model and the objectives of key stakeholders, including Lee Equity Partners, by strengthening marketing ROI measurement and supporting scalable growth through improved data maturity.</w:t>
      </w:r>
    </w:p>
    <w:p>
      <w:pPr>
        <w:spacing w:after="80"/>
      </w:pPr>
    </w:p>
    <w:p>
      <w:pPr>
        <w:spacing w:before="200" w:after="80"/>
      </w:pPr>
      <w:r>
        <w:rPr>
          <w:rFonts w:ascii="Arial" w:hAnsi="Arial"/>
          <w:b/>
          <w:i w:val="0"/>
          <w:color w:val="FF6196"/>
          <w:sz w:val="22"/>
        </w:rPr>
        <w:t>Expected Business Outcomes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Granular Lead‑to‑AUM Visibility:</w:t>
      </w:r>
      <w:r>
        <w:rPr>
          <w:rFonts w:ascii="Arial" w:hAnsi="Arial"/>
          <w:b w:val="0"/>
          <w:i w:val="0"/>
          <w:color w:val="1D1C1C"/>
          <w:sz w:val="20"/>
        </w:rPr>
        <w:t xml:space="preserve"> The new data model and reporting suite will provide detailed insights into each stage of the client acquisition journey, allowing leadership to identify conversion drivers and optimize pipeline performance.</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Accurate Customer Acquisition Cost Measurement:</w:t>
      </w:r>
      <w:r>
        <w:rPr>
          <w:rFonts w:ascii="Arial" w:hAnsi="Arial"/>
          <w:b w:val="0"/>
          <w:i w:val="0"/>
          <w:color w:val="1D1C1C"/>
          <w:sz w:val="20"/>
        </w:rPr>
        <w:t xml:space="preserve"> Integration of QuickBooks and Salesforce data will enable precise calculation of CAC metrics, improving understanding of marketing spend efficiency and return on investment.</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Automated and Reliable Reporting Processes:</w:t>
      </w:r>
      <w:r>
        <w:rPr>
          <w:rFonts w:ascii="Arial" w:hAnsi="Arial"/>
          <w:b w:val="0"/>
          <w:i w:val="0"/>
          <w:color w:val="1D1C1C"/>
          <w:sz w:val="20"/>
        </w:rPr>
        <w:t xml:space="preserve"> Batch‑based data ingestion and transformation pipelines will eliminate manual reporting steps, ensuring consistent, timely, and accurate updates to Power BI dashboards.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Decision‑Making Through Data Maturity:</w:t>
      </w:r>
      <w:r>
        <w:rPr>
          <w:rFonts w:ascii="Arial" w:hAnsi="Arial"/>
          <w:b w:val="0"/>
          <w:i w:val="0"/>
          <w:color w:val="1D1C1C"/>
          <w:sz w:val="20"/>
        </w:rPr>
        <w:t xml:space="preserve"> Enhanced analytics capabilities will empower senior leadership and marketing teams to make informed, evidence‑based decisions that directly impact asset growth and client acquisition strategies.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Scalable Data Platform for Future Expansion:</w:t>
      </w:r>
      <w:r>
        <w:rPr>
          <w:rFonts w:ascii="Arial" w:hAnsi="Arial"/>
          <w:b w:val="0"/>
          <w:i w:val="0"/>
          <w:color w:val="1D1C1C"/>
          <w:sz w:val="20"/>
        </w:rPr>
        <w:t xml:space="preserve"> The solution will establish a robust foundation within Microsoft Fabric and Azure Synapse, supporting future integration of additional data sources and advanced reporting needs as PURE continues to grow.</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Increased Transparency for Stakeholders:</w:t>
      </w:r>
      <w:r>
        <w:rPr>
          <w:rFonts w:ascii="Arial" w:hAnsi="Arial"/>
          <w:b w:val="0"/>
          <w:i w:val="0"/>
          <w:color w:val="1D1C1C"/>
          <w:sz w:val="20"/>
        </w:rPr>
        <w:t xml:space="preserve"> Clear KPI definitions and visualizations in Power BI will provide both internal teams and investment partners with transparent, actionable insights into marketing effectiveness and business performance.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8</w:t>
        <w:tab/>
      </w:r>
      <w:r>
        <w:rPr>
          <w:rFonts w:ascii="Arial" w:hAnsi="Arial"/>
          <w:b/>
          <w:i w:val="0"/>
          <w:color w:val="19105B"/>
          <w:sz w:val="24"/>
        </w:rPr>
        <w:t>Business Impact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Marketing ROI Visibility:</w:t>
      </w:r>
      <w:r>
        <w:rPr>
          <w:rFonts w:ascii="Arial" w:hAnsi="Arial"/>
          <w:b w:val="0"/>
          <w:i w:val="0"/>
          <w:color w:val="1D1C1C"/>
          <w:sz w:val="20"/>
        </w:rPr>
        <w:t xml:space="preserve"> The new Lead‑to‑AUM (L2A) and Customer Acquisition Cost (CAC) reporting suite will provide PURE Financial Advisors with granular insights into marketing effectiveness, enabling data‑driven decisions that can improve ROI by 10–15%.</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Operational Efficiency Through Automation:</w:t>
      </w:r>
      <w:r>
        <w:rPr>
          <w:rFonts w:ascii="Arial" w:hAnsi="Arial"/>
          <w:b w:val="0"/>
          <w:i w:val="0"/>
          <w:color w:val="1D1C1C"/>
          <w:sz w:val="20"/>
        </w:rPr>
        <w:t xml:space="preserve"> Automated data ingestion and transformation pipelines will eliminate manual data handling across Salesforce, QuickBooks, and Tamarac, reducing reporting cycle times by up to 50%.</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Single Source of Truth for Pipeline Performance:</w:t>
      </w:r>
      <w:r>
        <w:rPr>
          <w:rFonts w:ascii="Arial" w:hAnsi="Arial"/>
          <w:b w:val="0"/>
          <w:i w:val="0"/>
          <w:color w:val="1D1C1C"/>
          <w:sz w:val="20"/>
        </w:rPr>
        <w:t xml:space="preserve"> Consolidating data from multiple systems into Microsoft Fabric and Azure Synapse will create a unified, trusted dataset that ensures consistent KPI definitions and reliable performance tracking across teams.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Stakeholder Decision‑Making:</w:t>
      </w:r>
      <w:r>
        <w:rPr>
          <w:rFonts w:ascii="Arial" w:hAnsi="Arial"/>
          <w:b w:val="0"/>
          <w:i w:val="0"/>
          <w:color w:val="1D1C1C"/>
          <w:sz w:val="20"/>
        </w:rPr>
        <w:t xml:space="preserve"> Leadership and marketing teams will gain real‑time visibility into lead conversion and acquisition costs, supporting more accurate forecasting and resource allocation aligned with growth objectives.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Scalable Data Platform for Future Growth:</w:t>
      </w:r>
      <w:r>
        <w:rPr>
          <w:rFonts w:ascii="Arial" w:hAnsi="Arial"/>
          <w:b w:val="0"/>
          <w:i w:val="0"/>
          <w:color w:val="1D1C1C"/>
          <w:sz w:val="20"/>
        </w:rPr>
        <w:t xml:space="preserve"> The solution’s architecture will support integration of additional data sources and reporting needs, positioning PURE for long‑term scalability and readiness for future expansion or diligence events.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Data Maturity and Governance Advancement:</w:t>
      </w:r>
      <w:r>
        <w:rPr>
          <w:rFonts w:ascii="Arial" w:hAnsi="Arial"/>
          <w:b w:val="0"/>
          <w:i w:val="0"/>
          <w:color w:val="1D1C1C"/>
          <w:sz w:val="20"/>
        </w:rPr>
        <w:t xml:space="preserve"> Establishing standardized data models and KPI logic will strengthen PURE’s data governance foundation, improving accuracy and confidence in financial and operational reporting.</w:t>
      </w:r>
    </w:p>
    <w:p>
      <w:pPr>
        <w:spacing w:after="80"/>
      </w:pPr>
    </w:p>
    <w:p>
      <w:pPr>
        <w:spacing w:after="160" w:line="276" w:lineRule="auto"/>
      </w:pPr>
      <w:r>
        <w:rPr>
          <w:rFonts w:ascii="Arial" w:hAnsi="Arial"/>
          <w:b w:val="0"/>
          <w:i w:val="0"/>
          <w:color w:val="1D1C1C"/>
          <w:sz w:val="20"/>
        </w:rPr>
        <w:t>By delivering these outcomes, this engagement will enable PURE Financial Advisors LLC to transform its pipeline and marketing performance reporting into a strategic growth engine—driving efficiency, profitability, and long‑term value creation within the competitive U.S. financial advisory market.</w:t>
      </w:r>
    </w:p>
    <w:p>
      <w:pPr>
        <w:pBdr>
          <w:bottom w:val="single" w:sz="8" w:space="1" w:color="FF6196"/>
        </w:pBdr>
        <w:spacing w:before="40" w:after="200"/>
      </w:pPr>
    </w:p>
    <w:sectPr w:rsidR="00FC693F" w:rsidRPr="0006063C" w:rsidSect="00034616">
      <w:headerReference w:type="default" r:id="rId11"/>
      <w:footerReference w:type="default" r:id="rId12"/>
      <w:pgSz w:w="11906" w:h="16838"/>
      <w:pgMar w:top="1020" w:right="992" w:bottom="510" w:left="992"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0" w:val="left"/>
        <w:tab w:pos="4819" w:val="center"/>
        <w:tab w:pos="9921" w:val="right"/>
      </w:tabs>
      <w:spacing w:before="80" w:after="0"/>
      <w:pBdr>
        <w:top w:val="single" w:sz="8" w:space="4" w:color="173845"/>
      </w:pBdr>
    </w:pPr>
    <w:r>
      <w:rPr>
        <w:rFonts w:ascii="Arial" w:hAnsi="Arial"/>
        <w:b w:val="0"/>
        <w:i w:val="0"/>
        <w:color w:val="808080"/>
        <w:sz w:val="16"/>
      </w:rPr>
      <w:t>Circulation Limited: Client</w:t>
    </w:r>
    <w:r>
      <w:rPr>
        <w:rFonts w:ascii="Arial" w:hAnsi="Arial"/>
        <w:b w:val="0"/>
        <w:i w:val="0"/>
        <w:sz w:val="16"/>
      </w:rPr>
      <w:tab/>
    </w:r>
    <w:r>
      <w:rPr>
        <w:rFonts w:ascii="Arial" w:hAnsi="Arial"/>
        <w:b w:val="0"/>
        <w:i w:val="0"/>
        <w:color w:val="808080"/>
        <w:sz w:val="16"/>
      </w:rPr>
      <w:t>Version v1.0</w:t>
    </w:r>
    <w:r>
      <w:rPr>
        <w:rFonts w:ascii="Arial" w:hAnsi="Arial"/>
        <w:b w:val="0"/>
        <w:i w:val="0"/>
        <w:sz w:val="16"/>
      </w:rPr>
      <w:tab/>
    </w:r>
    <w:r>
      <w:rPr>
        <w:rFonts w:ascii="Arial" w:hAnsi="Arial"/>
        <w:b w:val="0"/>
        <w:i/>
        <w:color w:val="808080"/>
        <w:sz w:val="16"/>
      </w:rPr>
      <w:t>June 2026</w:t>
    </w:r>
    <w:r>
      <w:rPr>
        <w:rFonts w:ascii="Arial" w:hAnsi="Arial"/>
        <w:b w:val="0"/>
        <w:i w:val="0"/>
        <w:sz w:val="16"/>
      </w:rPr>
      <w:t xml:space="preserve"> </w:t>
    </w:r>
    <w:r>
      <w:rPr>
        <w:color w:val="808080"/>
        <w:sz w:val="16"/>
      </w:rPr>
      <w:fld>
        <w:instrText>PAGE</w:instrText>
      </w:fld>
    </w:r>
    <w:r>
      <w:rPr>
        <w:rFonts w:ascii="Arial" w:hAnsi="Arial"/>
        <w:b w:val="0"/>
        <w:i w:val="0"/>
        <w:sz w:val="16"/>
      </w:rPr>
      <w:t xml:space="preserve"> </w:t>
    </w:r>
    <w:r>
      <w:drawing>
        <wp:inline xmlns:a="http://schemas.openxmlformats.org/drawingml/2006/main" xmlns:pic="http://schemas.openxmlformats.org/drawingml/2006/picture">
          <wp:extent cx="1104417" cy="162000"/>
          <wp:docPr id="1" name="Picture 1"/>
          <wp:cNvGraphicFramePr>
            <a:graphicFrameLocks noChangeAspect="1"/>
          </wp:cNvGraphicFramePr>
          <a:graphic>
            <a:graphicData uri="http://schemas.openxmlformats.org/drawingml/2006/picture">
              <pic:pic>
                <pic:nvPicPr>
                  <pic:cNvPr id="0" name="jman_corner_mark.png"/>
                  <pic:cNvPicPr/>
                </pic:nvPicPr>
                <pic:blipFill>
                  <a:blip r:embed="rId1"/>
                  <a:stretch>
                    <a:fillRect/>
                  </a:stretch>
                </pic:blipFill>
                <pic:spPr>
                  <a:xfrm>
                    <a:off x="0" y="0"/>
                    <a:ext cx="1104417" cy="162000"/>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1152000" cy="1078857"/>
          <wp:docPr id="1" name="Picture 1"/>
          <wp:cNvGraphicFramePr>
            <a:graphicFrameLocks noChangeAspect="1"/>
          </wp:cNvGraphicFramePr>
          <a:graphic>
            <a:graphicData uri="http://schemas.openxmlformats.org/drawingml/2006/picture">
              <pic:pic>
                <pic:nvPicPr>
                  <pic:cNvPr id="0" name="jman_logo_navy.png"/>
                  <pic:cNvPicPr/>
                </pic:nvPicPr>
                <pic:blipFill>
                  <a:blip r:embed="rId1"/>
                  <a:stretch>
                    <a:fillRect/>
                  </a:stretch>
                </pic:blipFill>
                <pic:spPr>
                  <a:xfrm>
                    <a:off x="0" y="0"/>
                    <a:ext cx="1152000" cy="107885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