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firm operating in the financial advisory and wealth management industry. The company provides financial advisory services and asset management to individual clients, following a B2C business model. Key stakeholders include Jason Carver, Client Engagement Manager, and Lee Equity Partners, the firm’s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firm is undertaking this initiative to strengthen its Lead-to-AUM (L2A) pipeline and Customer Acquisition Cost (CAC) reporting capabilities. Current reporting provides limited granularity and lacks integrated insights into marketing effectiveness and conversion performance. By developing a comprehensive L2A and CAC data model, Pure aims to deliver automated, accurate, and actionable reporting that connects lead generation activities to asset growth and marketing ROI. This effort will enhance leadership’s visibility into pipeline performance and support data-driven decision-making across marketing and growth functions.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on a connected technology stack that includes Salesforce and Tamarac for client and portfolio data, Azure Blob Storage for data staging, and Microsoft Fabric and Azure Synapse as the core data platforms. Power BI serves as the primary reporting and analytics tool, supporting existing dashboards and performance views.</w:t>
      </w:r>
    </w:p>
    <w:p>
      <w:pPr>
        <w:spacing w:after="80"/>
      </w:pPr>
    </w:p>
    <w:p>
      <w:pPr>
        <w:spacing w:after="160" w:line="276" w:lineRule="auto"/>
      </w:pPr>
      <w:r>
        <w:rPr>
          <w:rFonts w:ascii="Arial" w:hAnsi="Arial"/>
          <w:b w:val="0"/>
          <w:i w:val="0"/>
          <w:color w:val="1D1C1C"/>
          <w:sz w:val="20"/>
        </w:rPr>
        <w:t>Data sources currently integrated into the environment include Salesforce, Tamarac, Azure Blob Storage, and QuickBooks, with the latter identified for upcoming integration. The infrastructure is cloud‑based, leveraging Microsoft Fabric and Azure Synapse for data management and transformation. While manual processes are not specified, integration challenges exist around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seeks to address limited granularity in existing pipeline reporting and the absence of integrated Customer Acquisition Cost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provide a detailed view of the Lead-to-AUM (L2A) journey, limiting visibility into marketing effectiveness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gaps in CAC tracking and overall data completeness.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required to reduce manual effort and ensure consistent, timely reporting updates.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initiative requires development of an enhanced L2A and CAC data model to unify data across Salesforce, Tamarac, Azure,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will include data and technology stakeholders, senior leadership, and marketing teams who rely on accurate pipeline and acquisition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end-to-end visibility across lead generation, conversion, and cost tracking.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visibility into the full client acquisition journey.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actionable insights into pipeline performance and marketing ROI through enhanced Power BI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accuracy, timeliness, and consistency of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with intuitive dashboards, standardized KPI definitions, and clear visualizations supporting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reporting foundation capable of integrating additional data sources and supporting future growth in data maturity.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formulas,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and reporting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 logic with industry standards and internal stakeholder expectations.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ROI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capturing layout, navigation, and user experience elements for leadership review.</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integrating Salesforce, Tamarac, Azure Fabric,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illustrating relationships, hierarchies,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key data quality considerations.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incomplete data elements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quality improvement to support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integration dependencies and readiness for QuickBooks ingestion.</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architecture and integration method for QuickBooks and Salesforce data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batch processing pipelines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design principles ensuring scalability, automation, and maintainability of the reporting solution.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dependencies for the build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resource plan covering 8–12 weeks of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matrix highlighting data access, integration, and quality checkpoints.</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proposed approach for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need for enhanced </w:t>
      </w:r>
      <w:r>
        <w:rPr>
          <w:rFonts w:ascii="Arial" w:hAnsi="Arial"/>
          <w:b/>
          <w:i w:val="0"/>
          <w:color w:val="1D1C1C"/>
          <w:sz w:val="20"/>
        </w:rPr>
        <w:t>Lead-to-AUM (L2A)</w:t>
      </w:r>
      <w:r>
        <w:rPr>
          <w:rFonts w:ascii="Arial" w:hAnsi="Arial"/>
          <w:b w:val="0"/>
          <w:i w:val="0"/>
          <w:color w:val="1D1C1C"/>
          <w:sz w:val="20"/>
        </w:rPr>
        <w:t xml:space="preserve"> and </w:t>
      </w:r>
      <w:r>
        <w:rPr>
          <w:rFonts w:ascii="Arial" w:hAnsi="Arial"/>
          <w:b/>
          <w:i w:val="0"/>
          <w:color w:val="1D1C1C"/>
          <w:sz w:val="20"/>
        </w:rPr>
        <w:t>Customer Acquisition Cost (CAC)</w:t>
      </w:r>
      <w:r>
        <w:rPr>
          <w:rFonts w:ascii="Arial" w:hAnsi="Arial"/>
          <w:b w:val="0"/>
          <w:i w:val="0"/>
          <w:color w:val="1D1C1C"/>
          <w:sz w:val="20"/>
        </w:rPr>
        <w:t xml:space="preserve"> reporting within the financial advisory and wealth management context. As a B2C business operating across the United States, Pure’s success depends on its ability to understand the full client acquisition journey and optimize marketing ROI. This engagement leverages the existing Microsoft Fabric and Azure Synapse infrastructure to design and implement a scalable, automated data model and Power BI reporting suite that delivers actionable insights to leadership and marketing teams.</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objectives, technical environment, and stakeholder expectations. Each phase builds upon the previous one—starting with data access and discovery, progressing through model design and mock-up development, and culminating in a detailed implementation plan. This structure ensures that the final solution is both technically robust and strategically aligned with Pure’s growth and data maturity goals.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Data Access Enablement, Duration: 1 week, Timeline: Week 0 to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foundational access, documentation, and alignment to enable a seamless start to the engagement.</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Coordinate with Pure’s data and technology teams to secure access to Salesforce, Tamarac, Azure Fabric, and Power BI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documentation on data architecture, reporting, and infrastructure.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Schedule and confirm workshops with key stakeholders, including Jason Carver and Lee Equity Partners representatives.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availability and confirm dependencies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project governance, cadence, and communication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Current State Assessment &amp; KPI Definition, Duration: 1 week, Timeline: Week 1 to Week 2</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Gain a comprehensive understanding of current data sources, reporting processes, and KPI definitions to inform the target-state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to align on business model, value drivers, and key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Power BI reports and data flows to identify current limitations and data quality issues.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data sources across Salesforce, Tamarac, and Azure Blob Storage to existing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current-state data lineage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gaps and dependencies impacting CAC and pipeline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Source Assessment &amp; Target Model Design, Duration: 1 week, Timeline: Week 2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data model and define the logic required to support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quality and completeness across Salesforce, Tamarac,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data model structure, including entity relationships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KPI calculation logic for L2A conversion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data gap assessment and recommend remediation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model design with Pure’s data and marketing teams to ensure business alignment.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KPI Book Development, Duration: 1 week, Timeline: Week 3 to Week 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agreed data model and KPIs into visual mock-ups and documentation to guide future build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illustrating L2A and CAC reporting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KPI Book detailing metric definitions, formulas, and data source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mock-ups with stakeholders to ensure clarity, usability, and alignment with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feedback and finalize visual and data model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supporting materials for the technical approach and implementation planning.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Phase 3B Implementation Plan, Duration: 1 week, Timeline: Week 4 to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technical approach and roadmap for the build phase, ensuring readiness for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end-to-end technical approach for QuickBooks integration and automated data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batch processing workflows within Microsoft Fabric for data ingestion and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data governance and quality assurance processes for ongoing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including timeline, resource requirements, and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deliverables and recommendations to Pure’s leadership for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w:t>
      </w:r>
      <w:r>
        <w:rPr>
          <w:rFonts w:ascii="Arial" w:hAnsi="Arial"/>
          <w:b w:val="0"/>
          <w:i w:val="0"/>
          <w:color w:val="1D1C1C"/>
          <w:sz w:val="20"/>
        </w:rPr>
        <w:t>’s L2A and CAC reporting capabilities are developed with precision, agility, and a clear focus on delivering measurable business outcomes. By combining robust data modeling, stakeholder alignment, and actionable reporting design, the engagement positions Pure to achieve scalable, automated insights that drive informed decision-making and sustained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achieve deeper visibility into its Lead-to-AUM (L2A) and Customer Acquisition Cost (CAC) performance. Through enhanced data modeling and automated reporting, the initiative aligns with Pure’s B2C growth objectives and supports both internal leadership and private equity stakeholders in making data-driven decisions on marketing ROI and pipeline efficiency.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The new L2A data model will provide detailed insights into each stage of the client acquisition journey, allowing leadership to identify conversion bottlenecks and optimize marketing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Integrated CAC reporting will deliver precise cost-per-client metrics by combining Salesforce, QuickBooks, and marketing data, enabling better evaluation of campaign effectiveness and spend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 Processes:</w:t>
      </w:r>
      <w:r>
        <w:rPr>
          <w:rFonts w:ascii="Arial" w:hAnsi="Arial"/>
          <w:b w:val="0"/>
          <w:i w:val="0"/>
          <w:color w:val="1D1C1C"/>
          <w:sz w:val="20"/>
        </w:rPr>
        <w:t xml:space="preserve"> Batch-based data ingestion and transformation pipelines will ensure consistent, timely updates to Power BI dashboards, reducing manual effort and improving data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Power BI views will allow stakeholders to directly link marketing investments to AUM growth, supporting evidence-based decisions on budget allocation and channel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Foundation for Future Growth:</w:t>
      </w:r>
      <w:r>
        <w:rPr>
          <w:rFonts w:ascii="Arial" w:hAnsi="Arial"/>
          <w:b w:val="0"/>
          <w:i w:val="0"/>
          <w:color w:val="1D1C1C"/>
          <w:sz w:val="20"/>
        </w:rPr>
        <w:t xml:space="preserve"> The solution will establish a robust, extensible data architecture within Microsoft Fabric and Azure Synapse, positioning Pure for future integration of additional data sources and advanced analytics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Data Confidence and Decision Quality:</w:t>
      </w:r>
      <w:r>
        <w:rPr>
          <w:rFonts w:ascii="Arial" w:hAnsi="Arial"/>
          <w:b w:val="0"/>
          <w:i w:val="0"/>
          <w:color w:val="1D1C1C"/>
          <w:sz w:val="20"/>
        </w:rPr>
        <w:t xml:space="preserve"> By addressing data quality and integration challenges, leadership will gain trusted insights that strengthen strategic planning and operational performance across acquisition and retention initiatives.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The new Lead-to-AUM (L2A) and Customer Acquisition Cost (CAC) reporting suite will provide Pure Financial Advisors with granular insights into marketing effectiveness, enabling leadership to allocate spend toward the highest-performing channels and campaigns.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reporting steps, reducing time spent on data preparation by up to 50% and improving reporting accuracy across Salesforce, QuickBooks, and Tamarac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With unified L2A and CAC metrics in Power BI, senior leadership and marketing teams can make faster, evidence-based decisions on lead conversion strategies and asset growth, directly supporting Pure’s B2C expansion goals.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Quality and Consistency:</w:t>
      </w:r>
      <w:r>
        <w:rPr>
          <w:rFonts w:ascii="Arial" w:hAnsi="Arial"/>
          <w:b w:val="0"/>
          <w:i w:val="0"/>
          <w:color w:val="1D1C1C"/>
          <w:sz w:val="20"/>
        </w:rPr>
        <w:t xml:space="preserve"> Integration of QuickBooks and standardized KPI definitions will create a single source of truth for financial and marketing data, reducing inconsistencies and enabling reliable performance tracking across departments.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enhanced data model and Microsoft Fabric-based architecture will support future data sources and reporting needs, ensuring scalability as Pure’s client base and AUM continue to grow.</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Private Equity Stakeholder Confidence:</w:t>
      </w:r>
      <w:r>
        <w:rPr>
          <w:rFonts w:ascii="Arial" w:hAnsi="Arial"/>
          <w:b w:val="0"/>
          <w:i w:val="0"/>
          <w:color w:val="1D1C1C"/>
          <w:sz w:val="20"/>
        </w:rPr>
        <w:t xml:space="preserve"> By delivering diligence-grade reporting on pipeline performance and marketing ROI, the initiative strengthens transparency and supports Lee Equity Partners’ oversight of portfolio value creation.</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establishing a scalable, data-driven foundation that underpins long-term growth and value creation in the U.S. financial advisory marketplace.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