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firm operating in the financial advisory and wealth management industry. The company provides financial advisory services and asset management to individual clients, following a B2C business model. Key stakeholders include Jason Carver, Client Engagement Manager, and Lee Equity Partners, the firm’s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firm is undertaking this initiative to strengthen its Lead-to-AUM (L2A) pipeline and Customer Acquisition Cost (CAC) reporting capabilities. Current reporting provides limited granularity and lacks integrated insights into marketing effectiveness and conversion performance. By developing a comprehensive L2A and CAC data model, Pure aims to deliver automated, accurate, and actionable reporting that connects lead generation activities to asset growth and marketing ROI. This effort will enhance decision-making for leadership and marketing teams while driving data maturity and scalability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on a connected data ecosystem built around Salesforce and Tamarac for client and portfolio management, Azure Blob Storage for data hosting, and Microsoft Fabric and Azure Synapse for data processing and analytics. Power BI serves as the central reporting suite, providing visual insights across these systems.</w:t>
      </w:r>
    </w:p>
    <w:p>
      <w:pPr>
        <w:spacing w:after="80"/>
      </w:pPr>
    </w:p>
    <w:p>
      <w:pPr>
        <w:spacing w:after="160" w:line="276" w:lineRule="auto"/>
      </w:pPr>
      <w:r>
        <w:rPr>
          <w:rFonts w:ascii="Arial" w:hAnsi="Arial"/>
          <w:b w:val="0"/>
          <w:i w:val="0"/>
          <w:color w:val="1D1C1C"/>
          <w:sz w:val="20"/>
        </w:rPr>
        <w:t>Data sources currently include Salesforce, Tamarac, Azure Blob Storage, and QuickBooks, with the latter identified for upcoming integration. The existing infrastructure is cloud‑based, leveraging Microsoft Fabric and Azure Synapse to support data ingestion and transformation. While manual processes are not specified, integration challenges exist around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capturing and analyzing cost data required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need for an enhanced L2A and CAC data model that consolidates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required to reduce manual effort and ensure consistent,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system must support data and technology stakeholders, senior leadership, and marketing teams as primary users of the reporting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end-to-end visibility across lead, client, and financial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to assets under management,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 definitions and intuitive visualizations to improve user experience and reporting clarity.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reporting framework capable of supporting future data sources and evolving business needs, driving long-term data maturity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 xml:space="preserve">Throughout the engagement with </w:t>
      </w:r>
      <w:r>
        <w:rPr>
          <w:rFonts w:ascii="Arial" w:hAnsi="Arial"/>
          <w:b/>
          <w:i w:val="0"/>
          <w:color w:val="1D1C1C"/>
          <w:sz w:val="20"/>
        </w:rPr>
        <w:t>Pure Financial Advisors LLC</w:t>
      </w:r>
      <w:r>
        <w:rPr>
          <w:rFonts w:ascii="Arial" w:hAnsi="Arial"/>
          <w:b w:val="0"/>
          <w:i w:val="0"/>
          <w:color w:val="1D1C1C"/>
          <w:sz w:val="20"/>
        </w:rPr>
        <w:t>,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 including definitions, calculation logic, and data source mapping.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taxonomy with industry standards and Pure’s internal reporting framework.</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linkage between KPIs and business outcomes to support marketing ROI analysis.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2. 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mock‑ups illustrating the future‑state L2A and CAC reporting experience.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performance insights.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blueprint to guide the subsequent build phase and user experience design.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integrated L2A and CAC data model connecting Salesforce, Tamarac, Azure Fabric, and QuickBooks.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showing relationships, hierarchies, and data flows.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integration points for automated ingestion pipelines.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incomplete data elements required for accurate L2A and CAC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quality, consistency, and readiness across Salesforce, Tamarac, and QuickBooks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prioritization of data improvement initiatives.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technical solution architecture, including integration methods for QuickBooks and Salesforce.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pipelines within Microsoft Fabric and Azure Synapse.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automation, refresh cadence, and governance considerations for scalable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dependencies, and timelines for the build and deployment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milestones, resource requirements, and success criteria for implementation.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integration, testing, and rollout steps to ensure smooth transition from design to production.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Each deliverable will be iteratively reviewed with </w:t>
      </w:r>
      <w:r>
        <w:rPr>
          <w:rFonts w:ascii="Arial" w:hAnsi="Arial"/>
          <w:b/>
          <w:i w:val="0"/>
          <w:color w:val="1D1C1C"/>
          <w:sz w:val="20"/>
        </w:rPr>
        <w:t>Pure Financial Advisors LLC</w:t>
      </w:r>
      <w:r>
        <w:rPr>
          <w:rFonts w:ascii="Arial" w:hAnsi="Arial"/>
          <w:b w:val="0"/>
          <w:i w:val="0"/>
          <w:color w:val="1D1C1C"/>
          <w:sz w:val="20"/>
        </w:rPr>
        <w:t>’s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need for enhanced Lead‑to‑AUM (L2A) and Customer Acquisition Cost (CAC) reporting within the financial advisory and wealth management space. As a B2C business operating across the United States, Pure requires a data‑driven foundation that connects marketing performance to asset growth. This approach leverages the company’s existing Microsoft Fabric and Azure Synapse infrastructure while integrating new data sources such as QuickBooks to deliver a unified, automated, and scalable reporting environment.</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priorities, technical landscape, and stakeholder expectations. Each phase builds upon the previous one—progressing from discovery and data assessment through model design and implementation planning—culminating in a robust foundation for future reporting scalability. This structure ensures that insights are actionable, data quality is validated, and the final deliverables are ready for seamless transition into the build phase.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Requirements Definition,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shared understanding of business goals, data landscape, and reporting requirements to set the foundation for design and integration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stakeholders to confirm objectives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documentation for Salesforce, Tamarac, Azure Fabric, and Power BI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current reporting workflows and identify dependencies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key L2A and CAC metrics and confirm alignment with leadership expectations.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project plan and workshop schedule for subsequent phases.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Assessment &amp; Gap Analysis, Duration: 2 weeks, Timeline: Weeks 2–3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current data sources, assess data quality, and identify integration and transformation requirements for the L2A and CAC model.</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data profiling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gaps, inconsistencies, and quality issues impacting CAC and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mapping between systems to support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ingestion and transformation requirements for batch processing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 remediation actions and dependencies for QuickBooks data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Design &amp; KPI Definition, Duration: 2 weeks, Timeline: Weeks 4–5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L2A and CAC data model and define KPI logic to support accurate, automated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and logical data models integrating Salesforce, Tamarac,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calculation logic for L2A conversion and CAC metrics, including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and KPI definitions with business and technical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data model structure with Microsoft Fabric and Azure Synapse architecture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transformation rules and dependencies for implementation.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Reporting Design, Duration: 1 week, Timeline: Week 6</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business requirements and data model outputs into visual reporting prototypes for stakeholder validation.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agreed KPI definitions and data hierarchies into dashboard layouts.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review sessions with marketing and leadership teams to refine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Capture feedback and finalize mock‑ups for inclusion in the design deliverables.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visualization logic and data dependencies for the build phase.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7</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technical design, integration approach, and roadmap for Phase 3B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end‑to‑end technical architecture for data ingestion, transformation, and reporting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QuickBooks integration approach, including data flow and scheduling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data governance and quality management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detailing sequencing, resourcing, and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Consolidate all deliverables—KPI Book, Data Model, Mock‑ups, and Technical Approach—into the final presentation.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w:t>
      </w:r>
      <w:r>
        <w:rPr>
          <w:rFonts w:ascii="Arial" w:hAnsi="Arial"/>
          <w:b w:val="0"/>
          <w:i w:val="0"/>
          <w:color w:val="1D1C1C"/>
          <w:sz w:val="20"/>
        </w:rPr>
        <w:t xml:space="preserve"> develops its L2A and CAC reporting capabilities with precision, agility, and a clear focus on measurable business outcomes. By aligning technical design with strategic objectives, the engagement positions Pure to achieve scalable, automated, and insight‑driven reporting that supports continued growth and operational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with </w:t>
      </w:r>
      <w:r>
        <w:rPr>
          <w:rFonts w:ascii="Arial" w:hAnsi="Arial"/>
          <w:b/>
          <w:i w:val="0"/>
          <w:color w:val="1D1C1C"/>
          <w:sz w:val="20"/>
        </w:rPr>
        <w:t>Pure Financial Advisors LLC</w:t>
      </w:r>
      <w:r>
        <w:rPr>
          <w:rFonts w:ascii="Arial" w:hAnsi="Arial"/>
          <w:b w:val="0"/>
          <w:i w:val="0"/>
          <w:color w:val="1D1C1C"/>
          <w:sz w:val="20"/>
        </w:rPr>
        <w:t xml:space="preserve"> will deliver measurable business impact by transforming how the firm tracks and optimizes its marketing and pipeline performance. Focused on developing a robust Lead‑to‑AUM (L2A) and Customer Acquisition Cost (CAC) reporting framework, the initiative aligns with Pure’s B2C growth model and the strategic objectives of both senior leadership and its investment partner, Lee Equity Partners. The outcome will enable data‑driven decisions that directly link marketing spend to asset growth and client acquisition efficiency.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Establishment of a unified L2A data model will provide detailed insights into each stage of the client acquisition journey, enabling leadership to pinpoint conversion drivers and optimize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deliver precise CAC metrics, allowing marketing teams to assess ROI and allocate budgets based on verified cost‑to‑conversion ratios.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Implementation of automated data ingestion and transformation pipelines will ensure consistent, timely, and error‑free reporting across Power BI dashboards, reducing manual intervention and improving data trust.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Power BI visualizations will connect marketing activities to AUM outcomes, empowering leadership to evaluate campaign effectiveness and refine strategies for higher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 Maturity and Scalability:</w:t>
      </w:r>
      <w:r>
        <w:rPr>
          <w:rFonts w:ascii="Arial" w:hAnsi="Arial"/>
          <w:b w:val="0"/>
          <w:i w:val="0"/>
          <w:color w:val="1D1C1C"/>
          <w:sz w:val="20"/>
        </w:rPr>
        <w:t xml:space="preserve"> The new data model and reporting suite will establish a scalable foundation for future analytics expansion, supporting Pure’s long‑term vision of data‑driven growth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Decision Latency:</w:t>
      </w:r>
      <w:r>
        <w:rPr>
          <w:rFonts w:ascii="Arial" w:hAnsi="Arial"/>
          <w:b w:val="0"/>
          <w:i w:val="0"/>
          <w:color w:val="1D1C1C"/>
          <w:sz w:val="20"/>
        </w:rPr>
        <w:t xml:space="preserve"> By consolidating key performance metrics into a single reporting environment, senior stakeholders will gain faster access to actionable insights, accelerating strategic and investment decisions.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Establishes a unified Lead‑to‑AUM and CAC reporting framework that quantifies marketing effectiveness, enabling leadership to identify high‑performing channels and optimize spend allocation.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Empowers Pure Financial Advisors to make informed strategic decisions on client acquisition and retention by linking lead sources directly to AUM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Automates data ingestion and transformation across Salesforce, QuickBooks, and Tamarac, reducing manual reporting effort and improving data refresh timeliness by an estimated 40–60%.</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Integrates financial and marketing data to deliver accurate CAC metrics, supporting more precise forecasting and profitability analysis across campaigns and client segments.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Builds a flexible data model within Microsoft Fabric and Azure Synapse, ensuring scalability for future data sources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Data Confidence:</w:t>
      </w:r>
      <w:r>
        <w:rPr>
          <w:rFonts w:ascii="Arial" w:hAnsi="Arial"/>
          <w:b w:val="0"/>
          <w:i w:val="0"/>
          <w:color w:val="1D1C1C"/>
          <w:sz w:val="20"/>
        </w:rPr>
        <w:t xml:space="preserve"> Provides Lee Equity Partners and senior leadership with a trusted, audit‑ready data asset that strengthens performance tracking and supports future diligence or growth initiatives.</w:t>
      </w:r>
    </w:p>
    <w:p>
      <w:pPr>
        <w:spacing w:after="80"/>
      </w:pPr>
    </w:p>
    <w:p>
      <w:pPr>
        <w:spacing w:after="160" w:line="276" w:lineRule="auto"/>
      </w:pPr>
      <w:r>
        <w:rPr>
          <w:rFonts w:ascii="Arial" w:hAnsi="Arial"/>
          <w:b w:val="0"/>
          <w:i w:val="0"/>
          <w:color w:val="1D1C1C"/>
          <w:sz w:val="20"/>
        </w:rPr>
        <w:t xml:space="preserve">By delivering these outcomes, this engagement will enable </w:t>
      </w:r>
      <w:r>
        <w:rPr>
          <w:rFonts w:ascii="Arial" w:hAnsi="Arial"/>
          <w:b/>
          <w:i w:val="0"/>
          <w:color w:val="1D1C1C"/>
          <w:sz w:val="20"/>
        </w:rPr>
        <w:t>Pure Financial Advisors LLC</w:t>
      </w:r>
      <w:r>
        <w:rPr>
          <w:rFonts w:ascii="Arial" w:hAnsi="Arial"/>
          <w:b w:val="0"/>
          <w:i w:val="0"/>
          <w:color w:val="1D1C1C"/>
          <w:sz w:val="20"/>
        </w:rPr>
        <w:t xml:space="preserve"> to transform its marketing and pipeline reporting into a strategic growth engine—driving smarter investment decisions, improving operational efficiency, and underpinning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