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 Background"/>
            <a:graphic xmlns:a="http://schemas.openxmlformats.org/drawingml/2006/main" xmlns:pic="http://schemas.openxmlformats.org/drawingml/2006/picture">
              <a:graphicData uri="http://schemas.openxmlformats.org/drawingml/2006/picture">
                <pic:pic>
                  <pic:nvPicPr>
                    <pic:cNvPr id="0" name="cover_background.jpg"/>
                    <pic:cNvPicPr/>
                  </pic:nvPicPr>
                  <pic:blipFill>
                    <a:blip r:embed="rId9"/>
                    <a:stretch>
                      <a:fillRect/>
                    </a:stretch>
                  </pic:blipFill>
                  <pic:spPr>
                    <a:xfrm>
                      <a:off x="0" y="0"/>
                      <a:ext cx="7560000" cy="10692000"/>
                    </a:xfrm>
                    <a:prstGeom prst="rect"/>
                  </pic:spPr>
                </pic:pic>
              </a:graphicData>
            </a:graphic>
          </wp:anchor>
        </w:drawing>
      </w:r>
    </w:p>
    <w:p>
      <w:pPr>
        <w:spacing w:after="0"/>
        <w:jc w:val="right"/>
      </w:pPr>
      <w:r>
        <w:drawing>
          <wp:inline xmlns:a="http://schemas.openxmlformats.org/drawingml/2006/main" xmlns:pic="http://schemas.openxmlformats.org/drawingml/2006/picture">
            <wp:extent cx="2880000" cy="2880000"/>
            <wp:docPr id="2" name="Picture 2"/>
            <wp:cNvGraphicFramePr>
              <a:graphicFrameLocks noChangeAspect="1"/>
            </wp:cNvGraphicFramePr>
            <a:graphic>
              <a:graphicData uri="http://schemas.openxmlformats.org/drawingml/2006/picture">
                <pic:pic>
                  <pic:nvPicPr>
                    <pic:cNvPr id="0" name="jman_logo_white.png"/>
                    <pic:cNvPicPr/>
                  </pic:nvPicPr>
                  <pic:blipFill>
                    <a:blip r:embed="rId10"/>
                    <a:stretch>
                      <a:fillRect/>
                    </a:stretch>
                  </pic:blipFill>
                  <pic:spPr>
                    <a:xfrm>
                      <a:off x="0" y="0"/>
                      <a:ext cx="2880000" cy="2880000"/>
                    </a:xfrm>
                    <a:prstGeom prst="rect"/>
                  </pic:spPr>
                </pic:pic>
              </a:graphicData>
            </a:graphic>
          </wp:inline>
        </w:drawing>
      </w:r>
    </w:p>
    <w:p>
      <w:pPr>
        <w:spacing w:after="4200"/>
      </w:pPr>
    </w:p>
    <w:p>
      <w:pPr>
        <w:pBdr>
          <w:bottom w:val="single" w:sz="4" w:space="4" w:color="FFFFFF"/>
        </w:pBdr>
        <w:spacing w:after="240"/>
      </w:pPr>
    </w:p>
    <w:p>
      <w:pPr>
        <w:spacing w:after="280"/>
      </w:pPr>
      <w:r>
        <w:rPr>
          <w:rFonts w:ascii="Arial" w:hAnsi="Arial"/>
          <w:b/>
          <w:i w:val="0"/>
          <w:color w:val="FF6196"/>
          <w:sz w:val="30"/>
        </w:rPr>
        <w:t>STATEMENT OF WORK BETWEEN</w:t>
      </w:r>
    </w:p>
    <w:p>
      <w:pPr>
        <w:spacing w:after="120"/>
      </w:pPr>
      <w:r>
        <w:rPr>
          <w:rFonts w:ascii="Arial" w:hAnsi="Arial"/>
          <w:b/>
          <w:i w:val="0"/>
          <w:color w:val="173845"/>
          <w:sz w:val="60"/>
        </w:rPr>
        <w:t>Client</w:t>
      </w:r>
    </w:p>
    <w:p>
      <w:pPr>
        <w:spacing w:after="120"/>
      </w:pPr>
      <w:r>
        <w:rPr>
          <w:rFonts w:ascii="Arial" w:hAnsi="Arial"/>
          <w:b w:val="0"/>
          <w:i/>
          <w:color w:val="808080"/>
          <w:sz w:val="32"/>
        </w:rPr>
        <w:t>And</w:t>
      </w:r>
    </w:p>
    <w:p>
      <w:pPr>
        <w:spacing w:after="0"/>
      </w:pPr>
      <w:r>
        <w:rPr>
          <w:rFonts w:ascii="Arial" w:hAnsi="Arial"/>
          <w:b/>
          <w:i w:val="0"/>
          <w:color w:val="173845"/>
          <w:sz w:val="60"/>
        </w:rPr>
        <w:t>JMAN Group</w:t>
      </w:r>
    </w:p>
    <w:p>
      <w:pPr>
        <w:sectPr>
          <w:pgSz w:w="11906" w:h="16838"/>
          <w:pgMar w:top="567" w:right="992" w:bottom="567" w:left="992" w:header="720" w:footer="720" w:gutter="0"/>
          <w:cols w:space="720"/>
          <w:docGrid w:linePitch="360"/>
        </w:sectPr>
      </w:pPr>
    </w:p>
    <w:p>
      <w:pPr>
        <w:tabs>
          <w:tab w:pos="578" w:val="left"/>
        </w:tabs>
        <w:spacing w:before="280" w:after="160"/>
        <w:ind w:left="578" w:hanging="578"/>
      </w:pPr>
      <w:r>
        <w:rPr>
          <w:rFonts w:ascii="Arial" w:hAnsi="Arial"/>
          <w:b/>
          <w:i w:val="0"/>
          <w:color w:val="19105B"/>
          <w:sz w:val="24"/>
        </w:rPr>
        <w:t>1</w:t>
        <w:tab/>
      </w:r>
      <w:r>
        <w:rPr>
          <w:rFonts w:ascii="Arial" w:hAnsi="Arial"/>
          <w:b/>
          <w:i w:val="0"/>
          <w:color w:val="19105B"/>
          <w:sz w:val="24"/>
        </w:rPr>
        <w:t>Business Context</w:t>
      </w:r>
    </w:p>
    <w:p>
      <w:pPr>
        <w:spacing w:after="80"/>
      </w:pPr>
    </w:p>
    <w:p>
      <w:pPr>
        <w:spacing w:after="160" w:line="276" w:lineRule="auto"/>
      </w:pPr>
      <w:r>
        <w:rPr>
          <w:rFonts w:ascii="Arial" w:hAnsi="Arial"/>
          <w:b w:val="0"/>
          <w:i w:val="0"/>
          <w:color w:val="1D1C1C"/>
          <w:sz w:val="20"/>
        </w:rPr>
        <w:t>Pure Financial Advisors LLC is a U.S.-based firm operating in the financial advisory and wealth management industry. The company provides financial advisory services and asset management to individual clients, following a B2C business model. Key stakeholders include Jason Carver, Client Engagement Manager, and Lee Equity Partners, the firm’s investment partner. Pure’s operations rely on a modern data and technology stack encompassing Salesforce, Tamarac, Azure Synapse, Microsoft Fabric, Power BI, and QuickBooks.</w:t>
      </w:r>
    </w:p>
    <w:p>
      <w:pPr>
        <w:spacing w:after="80"/>
      </w:pPr>
    </w:p>
    <w:p>
      <w:pPr>
        <w:spacing w:after="160" w:line="276" w:lineRule="auto"/>
      </w:pPr>
      <w:r>
        <w:rPr>
          <w:rFonts w:ascii="Arial" w:hAnsi="Arial"/>
          <w:b w:val="0"/>
          <w:i w:val="0"/>
          <w:color w:val="1D1C1C"/>
          <w:sz w:val="20"/>
        </w:rPr>
        <w:t>The firm is undertaking this initiative to strengthen its Lead-to-AUM (L2A) pipeline and Customer Acquisition Cost (CAC) reporting capabilities. Current reporting provides limited granularity and lacks integrated insights into marketing effectiveness and conversion performance. By developing a comprehensive L2A and CAC data model, Pure aims to deliver more precise visibility into the journey from lead generation to assets under management, enabling leadership to better assess marketing ROI and optimize acquisition strategies.</w:t>
      </w:r>
    </w:p>
    <w:p>
      <w:pPr>
        <w:spacing w:after="80"/>
      </w:pPr>
    </w:p>
    <w:p>
      <w:pPr>
        <w:spacing w:after="160" w:line="276" w:lineRule="auto"/>
      </w:pPr>
      <w:r>
        <w:rPr>
          <w:rFonts w:ascii="Arial" w:hAnsi="Arial"/>
          <w:b w:val="0"/>
          <w:i w:val="0"/>
          <w:color w:val="1D1C1C"/>
          <w:sz w:val="20"/>
        </w:rPr>
        <w:t>This project will focus on automating data ingestion and transformation processes, integrating QuickBooks with existing systems, and enhancing Power BI dashboards to provide clear, actionable metrics. The outcome will be a scalable, data-driven reporting environment that supports Pure’s growth objectives and advances its data maturity across marketing and operational functions.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2</w:t>
        <w:tab/>
      </w:r>
      <w:r>
        <w:rPr>
          <w:rFonts w:ascii="Arial" w:hAnsi="Arial"/>
          <w:b/>
          <w:i w:val="0"/>
          <w:color w:val="19105B"/>
          <w:sz w:val="24"/>
        </w:rPr>
        <w:t>Overview</w:t>
      </w:r>
    </w:p>
    <w:p>
      <w:pPr>
        <w:spacing w:after="80"/>
      </w:pPr>
    </w:p>
    <w:p>
      <w:pPr>
        <w:spacing w:after="160" w:line="276" w:lineRule="auto"/>
      </w:pPr>
      <w:r>
        <w:rPr>
          <w:rFonts w:ascii="Arial" w:hAnsi="Arial"/>
          <w:b w:val="0"/>
          <w:i w:val="0"/>
          <w:color w:val="1D1C1C"/>
          <w:sz w:val="20"/>
        </w:rPr>
        <w:t>Pure Financial Advisors’ data, technology, and marketing teams are central to the firm’s current pipeline and customer acquisition reporting processes. These teams operate across a connected ecosystem of platforms including Salesforce, Tamarac, Azure Blob Storage, Microsoft Fabric, Azure Synapse, Power BI, and QuickBooks (pending integration). Together, these systems support the collection, storage, and analysis of client and financial data used in lead tracking and asset management reporting.</w:t>
      </w:r>
    </w:p>
    <w:p>
      <w:pPr>
        <w:spacing w:after="80"/>
      </w:pPr>
    </w:p>
    <w:p>
      <w:pPr>
        <w:spacing w:after="160" w:line="276" w:lineRule="auto"/>
      </w:pPr>
      <w:r>
        <w:rPr>
          <w:rFonts w:ascii="Arial" w:hAnsi="Arial"/>
          <w:b w:val="0"/>
          <w:i w:val="0"/>
          <w:color w:val="1D1C1C"/>
          <w:sz w:val="20"/>
        </w:rPr>
        <w:t>The firm’s reporting environment is built around a Power BI suite that draws from multiple data sources—Salesforce, Tamarac, Azure Blob Storage, and QuickBooks. Data is hosted within Microsoft Fabric and Azure Synapse, forming the backbone of Pure’s cloud infrastructure. While manual processes are not specified, integration challenges currently center on connecting and ingesting data from QuickBooks and ensuring data quality for customer acquisition cost reporting.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3</w:t>
        <w:tab/>
      </w:r>
      <w:r>
        <w:rPr>
          <w:rFonts w:ascii="Arial" w:hAnsi="Arial"/>
          <w:b/>
          <w:i w:val="0"/>
          <w:color w:val="19105B"/>
          <w:sz w:val="24"/>
        </w:rPr>
        <w:t>Understanding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Pure Financial Advisors seeks to address limited granularity in existing pipeline reporting and the absence of integrated Customer Acquisition Cost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current reporting process does not provide detailed visibility into the full Lead-to-AUM (L2A) journey, limiting understanding of marketing effectiveness.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Data ingestion from QuickBooks is not yet established, creating integration gaps that hinder accurate CAC measurement.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The firm requires an enhanced L2A and CAC data model capable of supporting detailed Power BI reporting and data quality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Manual or fragmented data handling processes need replacement with automated ingestion and transformation workflows to improve consistency and timeliness.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Key user groups include data and technology stakeholders, senior leadership, and marketing teams who rely on accurate, unified reporting for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Mandatory integrations include Salesforce and QuickBooks to ensure complete visibility across lead generation, conversion, and financial performance.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4</w:t>
        <w:tab/>
      </w:r>
      <w:r>
        <w:rPr>
          <w:rFonts w:ascii="Arial" w:hAnsi="Arial"/>
          <w:b/>
          <w:i w:val="0"/>
          <w:color w:val="19105B"/>
          <w:sz w:val="24"/>
        </w:rPr>
        <w:t>Objectives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a comprehensive Lead‑to‑AUM (L2A) and Customer Acquisition Cost (CAC) data model that delivers granular insights into pipeline performance and marketing ROI.</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Automate data ingestion, transformation, and reporting refresh processes to ensure consistent, timely, and accurate analytics.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Provide leadership with clear visibility into the full customer journey from lead generation through asset conversion, enabling data‑driven decision‑making.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Enhance the Power BI user experience with intuitive dashboards, standardized KPI definitions, and clear visualizations of key performance metrics.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Strengthen pipeline and CAC tracking processes to support scalable, data‑mature reporting capabilities aligned with Pure’s long‑term growth vision.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seamless integration across Salesforce, QuickBooks, Tamarac, and Azure Fabric to create a unified, trusted reporting environment.</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5</w:t>
        <w:tab/>
      </w:r>
      <w:r>
        <w:rPr>
          <w:rFonts w:ascii="Arial" w:hAnsi="Arial"/>
          <w:b/>
          <w:i w:val="0"/>
          <w:color w:val="19105B"/>
          <w:sz w:val="24"/>
        </w:rPr>
        <w:t>Deliverables</w:t>
      </w:r>
    </w:p>
    <w:p>
      <w:pPr>
        <w:spacing w:after="80"/>
      </w:pPr>
    </w:p>
    <w:p>
      <w:pPr>
        <w:spacing w:after="160" w:line="276" w:lineRule="auto"/>
      </w:pPr>
      <w:r>
        <w:rPr>
          <w:rFonts w:ascii="Arial" w:hAnsi="Arial"/>
          <w:b w:val="0"/>
          <w:i w:val="0"/>
          <w:color w:val="1D1C1C"/>
          <w:sz w:val="20"/>
        </w:rPr>
        <w:t xml:space="preserve">Throughout the engagement with </w:t>
      </w:r>
      <w:r>
        <w:rPr>
          <w:rFonts w:ascii="Arial" w:hAnsi="Arial"/>
          <w:b/>
          <w:i w:val="0"/>
          <w:color w:val="1D1C1C"/>
          <w:sz w:val="20"/>
        </w:rPr>
        <w:t>Pure Financial Advisors LLC</w:t>
      </w:r>
      <w:r>
        <w:rPr>
          <w:rFonts w:ascii="Arial" w:hAnsi="Arial"/>
          <w:b w:val="0"/>
          <w:i w:val="0"/>
          <w:color w:val="1D1C1C"/>
          <w:sz w:val="20"/>
        </w:rPr>
        <w:t>, the following key deliverables and artifacts will be provided to ensure a comprehensive and actionable outcome aligned with the project objectives: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1. KPI Book</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and documentation of Lead‑to‑AUM (L2A) and Customer Acquisition Cost (CAC) metrics, including calculation logic and data sources.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Establishment of standardized KPI naming conventions and dimensional attributes for consistent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Alignment of KPI definitions with business stakeholders to ensure clarity and usability across teams.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2. Power BI Mock‑Ups (8 Views)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of up to eight Power BI dashboard mock‑ups illustrating L2A and CAC insights, pipeline performance, and marketing ROI.</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Visualization of key metrics, filters, and drill‑down capabilities to guide the final report build.</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Incorporation of user experience best practices to support intuitive navigation and decision‑making.</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3. Data Model Design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Development of a detailed L2A and CAC data model architecture integrating Salesforce, Tamarac, Azure Blob Storage, and QuickBooks.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Definition of data relationships, hierarchies, and transformation logic to support automated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Documentation of schema, data lineage, and integration points within Microsoft Fabric and Azure Synapse.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4. Data Gap Assessment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missing or incomplete data elements required for accurate L2A and CAC reporting.</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Evaluation of data quality, completeness, and consistency across source systems.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Recommendations for remediation actions and prioritization of data improvement initiatives.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5. Technical Approach Document</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Detailed description of the technical solution for QuickBooks integration and automated data ingestion pipelines.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Specification of batch processing workflows within Microsoft Fabric and Azure Synapse.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of security, scalability, and maintenance considerations for the proposed architecture.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6. Phase 3B Implementation Plan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Comprehensive roadmap detailing activities, milestones, and dependencies for the build and deployment phase.</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Timeline and resource plan covering 8–12 weeks of implementation, aligned with QuickBooks integration readiness.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Identification of key risks, mitigation strategies, and success checkpoints for project execution.</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Each deliverable will be iteratively reviewed with </w:t>
      </w:r>
      <w:r>
        <w:rPr>
          <w:rFonts w:ascii="Arial" w:hAnsi="Arial"/>
          <w:b/>
          <w:i w:val="0"/>
          <w:color w:val="1D1C1C"/>
          <w:sz w:val="20"/>
        </w:rPr>
        <w:t>Pure Financial Advisors LLC</w:t>
      </w:r>
      <w:r>
        <w:rPr>
          <w:rFonts w:ascii="Arial" w:hAnsi="Arial"/>
          <w:b w:val="0"/>
          <w:i w:val="0"/>
          <w:color w:val="1D1C1C"/>
          <w:sz w:val="20"/>
        </w:rPr>
        <w:t>’s leadership and technical teams to ensure alignment with business goals and to incorporate feedback promptly. This structured approach guarantees transparency, accountability, and measurable value throughout the engagement lifecycle.</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6</w:t>
        <w:tab/>
      </w:r>
      <w:r>
        <w:rPr>
          <w:rFonts w:ascii="Arial" w:hAnsi="Arial"/>
          <w:b/>
          <w:i w:val="0"/>
          <w:color w:val="19105B"/>
          <w:sz w:val="24"/>
        </w:rPr>
        <w:t>Approach</w:t>
      </w:r>
    </w:p>
    <w:p>
      <w:pPr>
        <w:spacing w:after="80"/>
      </w:pPr>
    </w:p>
    <w:p>
      <w:pPr>
        <w:spacing w:after="160" w:line="276" w:lineRule="auto"/>
      </w:pPr>
      <w:r>
        <w:rPr>
          <w:rFonts w:ascii="Arial" w:hAnsi="Arial"/>
          <w:b w:val="0"/>
          <w:i w:val="0"/>
          <w:color w:val="1D1C1C"/>
          <w:sz w:val="20"/>
        </w:rPr>
        <w:t xml:space="preserve">The proposed engagement for </w:t>
      </w:r>
      <w:r>
        <w:rPr>
          <w:rFonts w:ascii="Arial" w:hAnsi="Arial"/>
          <w:b/>
          <w:i w:val="0"/>
          <w:color w:val="1D1C1C"/>
          <w:sz w:val="20"/>
        </w:rPr>
        <w:t>Pure Financial Advisors LLC</w:t>
      </w:r>
      <w:r>
        <w:rPr>
          <w:rFonts w:ascii="Arial" w:hAnsi="Arial"/>
          <w:b w:val="0"/>
          <w:i w:val="0"/>
          <w:color w:val="1D1C1C"/>
          <w:sz w:val="20"/>
        </w:rPr>
        <w:t xml:space="preserve"> is designed to address the firm’s specific need for enhanced Lead‑to‑AUM (L2A) and Customer Acquisition Cost (CAC) reporting within the financial advisory and wealth management context. As a B2C business operating across the United States, Pure’s success depends on its ability to understand the full customer journey—from lead generation through asset conversion—and to measure marketing ROI with precision. This approach leverages the client’s existing Microsoft Fabric and Azure Synapse infrastructure, integrating Salesforce, Tamarac, and QuickBooks data to deliver a unified, automated, and scalable reporting solution.</w:t>
      </w:r>
    </w:p>
    <w:p>
      <w:pPr>
        <w:spacing w:after="80"/>
      </w:pPr>
    </w:p>
    <w:p>
      <w:pPr>
        <w:spacing w:after="160" w:line="276" w:lineRule="auto"/>
      </w:pPr>
      <w:r>
        <w:rPr>
          <w:rFonts w:ascii="Arial" w:hAnsi="Arial"/>
          <w:b w:val="0"/>
          <w:i w:val="0"/>
          <w:color w:val="1D1C1C"/>
          <w:sz w:val="20"/>
        </w:rPr>
        <w:t>Our methodology follows a structured, phased approach that ensures alignment with Pure’s business priorities, technical environment, and stakeholder expectations. Each phase builds upon the previous one, moving from discovery and data assessment through model design, mock‑up development, and implementation planning. This progression ensures that the final deliverables—data model, KPI book, Power BI mock‑ups, and implementation roadmap—are grounded in validated data, stakeholder input, and actionable insights.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1: Discovery &amp; Current State Assessment, Duration: 1 week, Timeline: Week 1</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Establish a shared understanding of Pure’s current data landscape, reporting processes, and integration points to inform downstream design activities.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Conduct kickoff sessions with data, technology, and marketing stakeholders to confirm objectives and success criteria.</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existing reporting assets within Power BI and Microsoft Fabric.</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current data flows across Salesforce, Tamarac, Azure Blob Storage, and QuickBooks.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access requirements and confirm system connectivity.</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a detailed project plan and workshop schedule for subsequent phases.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2: Data Source Assessment &amp; Gap Analysis, Duration: 1 week, Timeline: Week 2</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Evaluate data availability, quality, and integration readiness to support L2A and CAC reporting requirements.</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Assess data coverage and quality across Salesforce, Tamarac, and Azure Blob Storage.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Review QuickBooks data structure and define ingestion requirements for CAC reporting.</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Identify data gaps and dependencies impacting KPI calculation.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Recommend data cleaning and enrichment strategies for Phase 3B implementation.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findings with stakeholders and document in a Data Gap Assessment report.</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3: Data Model Design &amp; KPI Definition, Duration: 1 week, Timeline: Week 3</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Design the target‑state L2A and CAC data model and define KPI logic to enable consistent, automated reporting.</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conceptual and logical data model diagrams aligned with Microsoft Fabric and Azure Synapse architecture.</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L2A and CAC KPIs, including calculation logic, data lineage, and dimensional attributes.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Establish standardized naming conventions and data relationships.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model design and KPI definitions with business and technical stakeholders.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Document outputs in the KPI Book and Data Model Design deliverables.</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4: Power BI Mock‑ups &amp; Reporting Design, Duration: 1 week, Timeline: Week 4</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Translate business requirements and data model outputs into visual reporting concepts for stakeholder validation.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Design up to eight Power BI mock‑ups focused on L2A and CAC insights.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Incorporate user feedback to refine dashboard layout, navigation, and KPI visualization.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Ensure alignment with Pure’s branding and reporting standards.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data refresh logic and reporting automation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Finalize mock‑ups for inclusion in the Design deliverable package.</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i w:val="0"/>
          <w:color w:val="1D1C1C"/>
          <w:sz w:val="20"/>
        </w:rPr>
        <w:t>Phase 5: Technical Approach &amp; Implementation Planning, Duration: 1 week, Timeline: Week 5</w:t>
      </w:r>
    </w:p>
    <w:p>
      <w:pPr>
        <w:spacing w:after="80"/>
      </w:pPr>
    </w:p>
    <w:p>
      <w:pPr>
        <w:spacing w:after="160" w:line="276" w:lineRule="auto"/>
      </w:pPr>
      <w:r>
        <w:rPr>
          <w:rFonts w:ascii="Arial" w:hAnsi="Arial"/>
          <w:b/>
          <w:i w:val="0"/>
          <w:color w:val="1D1C1C"/>
          <w:sz w:val="20"/>
        </w:rPr>
        <w:t>Summary:</w:t>
      </w:r>
      <w:r>
        <w:rPr>
          <w:rFonts w:ascii="Arial" w:hAnsi="Arial"/>
          <w:b w:val="0"/>
          <w:i w:val="0"/>
          <w:color w:val="1D1C1C"/>
          <w:sz w:val="20"/>
        </w:rPr>
        <w:t xml:space="preserve"> Develop the technical approach and detailed roadmap for Phase 3B implementation, ensuring readiness for build and automation.</w:t>
      </w:r>
    </w:p>
    <w:p>
      <w:pPr>
        <w:spacing w:after="80"/>
      </w:pPr>
    </w:p>
    <w:p>
      <w:pPr>
        <w:spacing w:after="160" w:line="276" w:lineRule="auto"/>
      </w:pPr>
      <w:r>
        <w:rPr>
          <w:rFonts w:ascii="Arial" w:hAnsi="Arial"/>
          <w:b/>
          <w:i w:val="0"/>
          <w:color w:val="1D1C1C"/>
          <w:sz w:val="20"/>
        </w:rPr>
        <w:t>Activities: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Define the end‑to‑end data ingestion and transformation approach for QuickBooks integration.</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Outline batch processing pipelines within Microsoft Fabric for automated data refresh.</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Develop the Phase 3B Implementation Plan, including sequencing, dependencies, and resource requirements.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Validate technical design with Pure’s data and technology teams.</w:t>
      </w:r>
    </w:p>
    <w:p>
      <w:pPr>
        <w:tabs>
          <w:tab w:pos="720" w:val="left"/>
        </w:tabs>
        <w:spacing w:after="80" w:line="276" w:lineRule="auto"/>
        <w:ind w:left="720" w:hanging="363"/>
      </w:pPr>
      <w:r>
        <w:rPr>
          <w:rFonts w:ascii="Arial" w:hAnsi="Arial"/>
          <w:b w:val="0"/>
          <w:i w:val="0"/>
          <w:color w:val="FF6196"/>
          <w:sz w:val="20"/>
        </w:rPr>
        <w:t>•</w:t>
        <w:tab/>
      </w:r>
      <w:r>
        <w:rPr>
          <w:rFonts w:ascii="Arial" w:hAnsi="Arial"/>
          <w:b w:val="0"/>
          <w:i w:val="0"/>
          <w:color w:val="1D1C1C"/>
          <w:sz w:val="20"/>
        </w:rPr>
        <w:t>Present final deliverables—KPI Book, Data Model, Power BI Mock‑ups, and Implementation Plan—for approval.</w:t>
      </w:r>
    </w:p>
    <w:p>
      <w:pPr>
        <w:spacing w:after="80"/>
      </w:pPr>
    </w:p>
    <w:p>
      <w:pPr>
        <w:spacing w:after="160" w:line="276" w:lineRule="auto"/>
      </w:pPr>
      <w:r>
        <w:rPr>
          <w:rFonts w:ascii="Arial" w:hAnsi="Arial"/>
          <w:b w:val="0"/>
          <w:i w:val="0"/>
          <w:color w:val="1D1C1C"/>
          <w:sz w:val="20"/>
        </w:rPr>
        <w:t>---</w:t>
      </w:r>
    </w:p>
    <w:p>
      <w:pPr>
        <w:spacing w:after="80"/>
      </w:pPr>
    </w:p>
    <w:p>
      <w:pPr>
        <w:spacing w:after="160" w:line="276" w:lineRule="auto"/>
      </w:pPr>
      <w:r>
        <w:rPr>
          <w:rFonts w:ascii="Arial" w:hAnsi="Arial"/>
          <w:b w:val="0"/>
          <w:i w:val="0"/>
          <w:color w:val="1D1C1C"/>
          <w:sz w:val="20"/>
        </w:rPr>
        <w:t xml:space="preserve">This structured, phased approach ensures that </w:t>
      </w:r>
      <w:r>
        <w:rPr>
          <w:rFonts w:ascii="Arial" w:hAnsi="Arial"/>
          <w:b/>
          <w:i w:val="0"/>
          <w:color w:val="1D1C1C"/>
          <w:sz w:val="20"/>
        </w:rPr>
        <w:t>Pure Financial Advisors LLC</w:t>
      </w:r>
      <w:r>
        <w:rPr>
          <w:rFonts w:ascii="Arial" w:hAnsi="Arial"/>
          <w:b w:val="0"/>
          <w:i w:val="0"/>
          <w:color w:val="1D1C1C"/>
          <w:sz w:val="20"/>
        </w:rPr>
        <w:t>’s enhanced reporting capabilities are developed with precision, agility, and a clear focus on delivering measurable business outcomes. By grounding each phase in validated data and stakeholder collaboration, the engagement will provide a scalable foundation for ongoing analytics maturity and data‑driven decision‑making.</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7</w:t>
        <w:tab/>
      </w:r>
      <w:r>
        <w:rPr>
          <w:rFonts w:ascii="Arial" w:hAnsi="Arial"/>
          <w:b/>
          <w:i w:val="0"/>
          <w:color w:val="19105B"/>
          <w:sz w:val="24"/>
        </w:rPr>
        <w:t>Outcomes</w:t>
      </w:r>
    </w:p>
    <w:p>
      <w:pPr>
        <w:spacing w:after="80"/>
      </w:pPr>
    </w:p>
    <w:p>
      <w:pPr>
        <w:spacing w:after="160" w:line="276" w:lineRule="auto"/>
      </w:pPr>
      <w:r>
        <w:rPr>
          <w:rFonts w:ascii="Arial" w:hAnsi="Arial"/>
          <w:b w:val="0"/>
          <w:i w:val="0"/>
          <w:color w:val="1D1C1C"/>
          <w:sz w:val="20"/>
        </w:rPr>
        <w:t xml:space="preserve">This engagement will deliver measurable business impact and strategic value by enabling </w:t>
      </w:r>
      <w:r>
        <w:rPr>
          <w:rFonts w:ascii="Arial" w:hAnsi="Arial"/>
          <w:b/>
          <w:i w:val="0"/>
          <w:color w:val="1D1C1C"/>
          <w:sz w:val="20"/>
        </w:rPr>
        <w:t>Pure Financial Advisors LLC</w:t>
      </w:r>
      <w:r>
        <w:rPr>
          <w:rFonts w:ascii="Arial" w:hAnsi="Arial"/>
          <w:b w:val="0"/>
          <w:i w:val="0"/>
          <w:color w:val="1D1C1C"/>
          <w:sz w:val="20"/>
        </w:rPr>
        <w:t xml:space="preserve"> to achieve deeper visibility into its Lead‑to‑AUM (L2A) and Customer Acquisition Cost (CAC) performance. The initiative aligns with Pure’s B2C financial advisory model and supports both internal leadership and private equity stakeholders in making data‑driven decisions that optimize marketing ROI and pipeline efficiency.</w:t>
      </w:r>
    </w:p>
    <w:p>
      <w:pPr>
        <w:spacing w:after="80"/>
      </w:pPr>
    </w:p>
    <w:p>
      <w:pPr>
        <w:spacing w:before="200" w:after="80"/>
      </w:pPr>
      <w:r>
        <w:rPr>
          <w:rFonts w:ascii="Arial" w:hAnsi="Arial"/>
          <w:b/>
          <w:i w:val="0"/>
          <w:color w:val="FF6196"/>
          <w:sz w:val="22"/>
        </w:rPr>
        <w:t>Expected Business Outcomes</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Granular Lead‑to‑AUM Visibility:</w:t>
      </w:r>
      <w:r>
        <w:rPr>
          <w:rFonts w:ascii="Arial" w:hAnsi="Arial"/>
          <w:b w:val="0"/>
          <w:i w:val="0"/>
          <w:color w:val="1D1C1C"/>
          <w:sz w:val="20"/>
        </w:rPr>
        <w:t xml:space="preserve"> Development of a unified L2A data model will provide detailed insights into each stage of the client acquisition journey, allowing leadership to identify conversion bottlenecks and optimize lead management strategies.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Accurate Customer Acquisition Cost Measurement:</w:t>
      </w:r>
      <w:r>
        <w:rPr>
          <w:rFonts w:ascii="Arial" w:hAnsi="Arial"/>
          <w:b w:val="0"/>
          <w:i w:val="0"/>
          <w:color w:val="1D1C1C"/>
          <w:sz w:val="20"/>
        </w:rPr>
        <w:t xml:space="preserve"> Integration of QuickBooks and Salesforce data will enable precise CAC calculations, improving understanding of marketing spend effectiveness and guiding future investment decisions.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Automated and Reliable Reporting:</w:t>
      </w:r>
      <w:r>
        <w:rPr>
          <w:rFonts w:ascii="Arial" w:hAnsi="Arial"/>
          <w:b w:val="0"/>
          <w:i w:val="0"/>
          <w:color w:val="1D1C1C"/>
          <w:sz w:val="20"/>
        </w:rPr>
        <w:t xml:space="preserve"> Implementation of automated data ingestion and transformation pipelines will ensure consistent, timely, and error‑free reporting across Power BI dashboards, reducing manual effort and improving data trust.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Analysis:</w:t>
      </w:r>
      <w:r>
        <w:rPr>
          <w:rFonts w:ascii="Arial" w:hAnsi="Arial"/>
          <w:b w:val="0"/>
          <w:i w:val="0"/>
          <w:color w:val="1D1C1C"/>
          <w:sz w:val="20"/>
        </w:rPr>
        <w:t xml:space="preserve"> The new reporting suite will allow Pure to directly link marketing activities to asset growth outcomes, enabling evidence‑based decisions that maximize return on marketing investments.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Improved Leadership Decision‑Making:</w:t>
      </w:r>
      <w:r>
        <w:rPr>
          <w:rFonts w:ascii="Arial" w:hAnsi="Arial"/>
          <w:b w:val="0"/>
          <w:i w:val="0"/>
          <w:color w:val="1D1C1C"/>
          <w:sz w:val="20"/>
        </w:rPr>
        <w:t xml:space="preserve"> With clear KPI definitions and visualizations, senior management will gain actionable insights into pipeline performance and customer acquisition trends, supporting strategic planning and growth initiatives.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Foundation for Scalable Data Maturity:</w:t>
      </w:r>
      <w:r>
        <w:rPr>
          <w:rFonts w:ascii="Arial" w:hAnsi="Arial"/>
          <w:b w:val="0"/>
          <w:i w:val="0"/>
          <w:color w:val="1D1C1C"/>
          <w:sz w:val="20"/>
        </w:rPr>
        <w:t xml:space="preserve"> Establishing a robust, extensible data model within Microsoft Fabric and Azure Synapse will position Pure for future expansion of analytics capabilities and integration of additional data sources.</w:t>
      </w:r>
    </w:p>
    <w:p>
      <w:pPr>
        <w:pBdr>
          <w:bottom w:val="single" w:sz="8" w:space="1" w:color="FF6196"/>
        </w:pBdr>
        <w:spacing w:before="40" w:after="200"/>
      </w:pPr>
    </w:p>
    <w:p>
      <w:pPr>
        <w:tabs>
          <w:tab w:pos="578" w:val="left"/>
        </w:tabs>
        <w:spacing w:before="280" w:after="160"/>
        <w:ind w:left="578" w:hanging="578"/>
      </w:pPr>
      <w:r>
        <w:rPr>
          <w:rFonts w:ascii="Arial" w:hAnsi="Arial"/>
          <w:b/>
          <w:i w:val="0"/>
          <w:color w:val="19105B"/>
          <w:sz w:val="24"/>
        </w:rPr>
        <w:t>8</w:t>
        <w:tab/>
      </w:r>
      <w:r>
        <w:rPr>
          <w:rFonts w:ascii="Arial" w:hAnsi="Arial"/>
          <w:b/>
          <w:i w:val="0"/>
          <w:color w:val="19105B"/>
          <w:sz w:val="24"/>
        </w:rPr>
        <w:t>Business Impact</w:t>
      </w:r>
    </w:p>
    <w:p>
      <w:pPr>
        <w:spacing w:after="80"/>
      </w:pP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Enhanced Marketing ROI Visibility:</w:t>
      </w:r>
      <w:r>
        <w:rPr>
          <w:rFonts w:ascii="Arial" w:hAnsi="Arial"/>
          <w:b w:val="0"/>
          <w:i w:val="0"/>
          <w:color w:val="1D1C1C"/>
          <w:sz w:val="20"/>
        </w:rPr>
        <w:t xml:space="preserve"> The new Lead‑to‑AUM (L2A) and Customer Acquisition Cost (CAC) reporting suite will provide Pure Financial Advisors with granular insight into marketing effectiveness, enabling leadership to allocate spend toward the highest‑performing channels and improve ROI measurement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Operational Efficiency Through Automation:</w:t>
      </w:r>
      <w:r>
        <w:rPr>
          <w:rFonts w:ascii="Arial" w:hAnsi="Arial"/>
          <w:b w:val="0"/>
          <w:i w:val="0"/>
          <w:color w:val="1D1C1C"/>
          <w:sz w:val="20"/>
        </w:rPr>
        <w:t xml:space="preserve"> Automated data ingestion and transformation pipelines will eliminate manual data handling across Salesforce, QuickBooks, and Tamarac, reducing reporting cycle time by up to 50% and freeing analyst capacity for higher‑value analysis.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Data‑Driven Growth Decisions:</w:t>
      </w:r>
      <w:r>
        <w:rPr>
          <w:rFonts w:ascii="Arial" w:hAnsi="Arial"/>
          <w:b w:val="0"/>
          <w:i w:val="0"/>
          <w:color w:val="1D1C1C"/>
          <w:sz w:val="20"/>
        </w:rPr>
        <w:t xml:space="preserve"> A unified data model and Power BI dashboards will allow senior leadership and marketing teams to make informed decisions on lead conversion strategies, directly supporting Pure’s B2C growth objectives and improving lead‑to‑AUM conversion rates.</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Financial Transparency and Cost Control:</w:t>
      </w:r>
      <w:r>
        <w:rPr>
          <w:rFonts w:ascii="Arial" w:hAnsi="Arial"/>
          <w:b w:val="0"/>
          <w:i w:val="0"/>
          <w:color w:val="1D1C1C"/>
          <w:sz w:val="20"/>
        </w:rPr>
        <w:t xml:space="preserve"> Integration of QuickBooks data into the reporting ecosystem will enable precise tracking of acquisition costs and profitability per lead segment, supporting tighter cost management and improved forecasting accuracy.</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Scalable Reporting Foundation:</w:t>
      </w:r>
      <w:r>
        <w:rPr>
          <w:rFonts w:ascii="Arial" w:hAnsi="Arial"/>
          <w:b w:val="0"/>
          <w:i w:val="0"/>
          <w:color w:val="1D1C1C"/>
          <w:sz w:val="20"/>
        </w:rPr>
        <w:t xml:space="preserve"> The Microsoft Fabric‑based data platform will establish a scalable architecture capable of supporting future data sources and reporting needs, ensuring long‑term sustainability and readiness for continued expansion under Lee Equity Partners’ investment oversight.</w:t>
      </w:r>
    </w:p>
    <w:p>
      <w:pPr>
        <w:tabs>
          <w:tab w:pos="720" w:val="left"/>
        </w:tabs>
        <w:spacing w:after="80" w:line="276" w:lineRule="auto"/>
        <w:ind w:left="720" w:hanging="363"/>
      </w:pPr>
      <w:r>
        <w:rPr>
          <w:rFonts w:ascii="Arial" w:hAnsi="Arial"/>
          <w:b w:val="0"/>
          <w:i w:val="0"/>
          <w:color w:val="FF6196"/>
          <w:sz w:val="20"/>
        </w:rPr>
        <w:t>•</w:t>
        <w:tab/>
      </w:r>
      <w:r>
        <w:rPr>
          <w:rFonts w:ascii="Arial" w:hAnsi="Arial"/>
          <w:b/>
          <w:i w:val="0"/>
          <w:color w:val="1D1C1C"/>
          <w:sz w:val="20"/>
        </w:rPr>
        <w:t>Stakeholder Alignment and Confidence:</w:t>
      </w:r>
      <w:r>
        <w:rPr>
          <w:rFonts w:ascii="Arial" w:hAnsi="Arial"/>
          <w:b w:val="0"/>
          <w:i w:val="0"/>
          <w:color w:val="1D1C1C"/>
          <w:sz w:val="20"/>
        </w:rPr>
        <w:t xml:space="preserve"> Standardized KPI definitions and consistent reporting across teams will create a single source of truth, strengthening confidence in performance metrics and supporting investor‑grade transparency for private equity stakeholders.</w:t>
      </w:r>
    </w:p>
    <w:p>
      <w:pPr>
        <w:spacing w:after="80"/>
      </w:pPr>
    </w:p>
    <w:p>
      <w:pPr>
        <w:spacing w:after="160" w:line="276" w:lineRule="auto"/>
      </w:pPr>
      <w:r>
        <w:rPr>
          <w:rFonts w:ascii="Arial" w:hAnsi="Arial"/>
          <w:b w:val="0"/>
          <w:i w:val="0"/>
          <w:color w:val="1D1C1C"/>
          <w:sz w:val="20"/>
        </w:rPr>
        <w:t>By delivering these outcomes, this engagement will enable Pure Financial Advisors LLC to transform its pipeline and marketing performance management approach, creating a lasting, scalable data asset that drives operational efficiency, financial clarity, and sustained growth in the competitive U.S. financial advisory market.</w:t>
      </w:r>
    </w:p>
    <w:p>
      <w:pPr>
        <w:pBdr>
          <w:bottom w:val="single" w:sz="8" w:space="1" w:color="FF6196"/>
        </w:pBdr>
        <w:spacing w:before="40" w:after="200"/>
      </w:pPr>
    </w:p>
    <w:sectPr w:rsidR="00FC693F" w:rsidRPr="0006063C" w:rsidSect="00034616">
      <w:headerReference w:type="default" r:id="rId11"/>
      <w:footerReference w:type="default" r:id="rId12"/>
      <w:pgSz w:w="11906" w:h="16838"/>
      <w:pgMar w:top="1020" w:right="992" w:bottom="510" w:left="992" w:header="56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0" w:val="left"/>
        <w:tab w:pos="4819" w:val="center"/>
        <w:tab w:pos="9921" w:val="right"/>
      </w:tabs>
      <w:spacing w:before="80" w:after="0"/>
      <w:pBdr>
        <w:top w:val="single" w:sz="8" w:space="4" w:color="173845"/>
      </w:pBdr>
    </w:pPr>
    <w:r>
      <w:rPr>
        <w:rFonts w:ascii="Arial" w:hAnsi="Arial"/>
        <w:b w:val="0"/>
        <w:i w:val="0"/>
        <w:color w:val="808080"/>
        <w:sz w:val="16"/>
      </w:rPr>
      <w:t>Circulation Limited: Client</w:t>
    </w:r>
    <w:r>
      <w:rPr>
        <w:rFonts w:ascii="Arial" w:hAnsi="Arial"/>
        <w:b w:val="0"/>
        <w:i w:val="0"/>
        <w:sz w:val="16"/>
      </w:rPr>
      <w:tab/>
    </w:r>
    <w:r>
      <w:rPr>
        <w:rFonts w:ascii="Arial" w:hAnsi="Arial"/>
        <w:b w:val="0"/>
        <w:i w:val="0"/>
        <w:color w:val="808080"/>
        <w:sz w:val="16"/>
      </w:rPr>
      <w:t>Version v1.0</w:t>
    </w:r>
    <w:r>
      <w:rPr>
        <w:rFonts w:ascii="Arial" w:hAnsi="Arial"/>
        <w:b w:val="0"/>
        <w:i w:val="0"/>
        <w:sz w:val="16"/>
      </w:rPr>
      <w:tab/>
    </w:r>
    <w:r>
      <w:rPr>
        <w:rFonts w:ascii="Arial" w:hAnsi="Arial"/>
        <w:b w:val="0"/>
        <w:i/>
        <w:color w:val="808080"/>
        <w:sz w:val="16"/>
      </w:rPr>
      <w:t>June 2026</w:t>
    </w:r>
    <w:r>
      <w:rPr>
        <w:rFonts w:ascii="Arial" w:hAnsi="Arial"/>
        <w:b w:val="0"/>
        <w:i w:val="0"/>
        <w:sz w:val="16"/>
      </w:rPr>
      <w:t xml:space="preserve"> </w:t>
    </w:r>
    <w:r>
      <w:rPr>
        <w:color w:val="808080"/>
        <w:sz w:val="16"/>
      </w:rPr>
      <w:fld>
        <w:instrText>PAGE</w:instrText>
      </w:fld>
    </w:r>
    <w:r>
      <w:rPr>
        <w:rFonts w:ascii="Arial" w:hAnsi="Arial"/>
        <w:b w:val="0"/>
        <w:i w:val="0"/>
        <w:sz w:val="16"/>
      </w:rPr>
      <w:t xml:space="preserve"> </w:t>
    </w:r>
    <w:r>
      <w:drawing>
        <wp:inline xmlns:a="http://schemas.openxmlformats.org/drawingml/2006/main" xmlns:pic="http://schemas.openxmlformats.org/drawingml/2006/picture">
          <wp:extent cx="1104417" cy="162000"/>
          <wp:docPr id="1" name="Picture 1"/>
          <wp:cNvGraphicFramePr>
            <a:graphicFrameLocks noChangeAspect="1"/>
          </wp:cNvGraphicFramePr>
          <a:graphic>
            <a:graphicData uri="http://schemas.openxmlformats.org/drawingml/2006/picture">
              <pic:pic>
                <pic:nvPicPr>
                  <pic:cNvPr id="0" name="jman_corner_mark.png"/>
                  <pic:cNvPicPr/>
                </pic:nvPicPr>
                <pic:blipFill>
                  <a:blip r:embed="rId1"/>
                  <a:stretch>
                    <a:fillRect/>
                  </a:stretch>
                </pic:blipFill>
                <pic:spPr>
                  <a:xfrm>
                    <a:off x="0" y="0"/>
                    <a:ext cx="1104417" cy="162000"/>
                  </a:xfrm>
                  <a:prstGeom prst="rect"/>
                </pic:spPr>
              </pic:pic>
            </a:graphicData>
          </a:graphic>
        </wp:inline>
      </w:drawing>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drawing>
        <wp:inline xmlns:a="http://schemas.openxmlformats.org/drawingml/2006/main" xmlns:pic="http://schemas.openxmlformats.org/drawingml/2006/picture">
          <wp:extent cx="1152000" cy="1078857"/>
          <wp:docPr id="1" name="Picture 1"/>
          <wp:cNvGraphicFramePr>
            <a:graphicFrameLocks noChangeAspect="1"/>
          </wp:cNvGraphicFramePr>
          <a:graphic>
            <a:graphicData uri="http://schemas.openxmlformats.org/drawingml/2006/picture">
              <pic:pic>
                <pic:nvPicPr>
                  <pic:cNvPr id="0" name="jman_logo_navy.png"/>
                  <pic:cNvPicPr/>
                </pic:nvPicPr>
                <pic:blipFill>
                  <a:blip r:embed="rId1"/>
                  <a:stretch>
                    <a:fillRect/>
                  </a:stretch>
                </pic:blipFill>
                <pic:spPr>
                  <a:xfrm>
                    <a:off x="0" y="0"/>
                    <a:ext cx="1152000" cy="107885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