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 Background"/>
            <a:graphic xmlns:a="http://schemas.openxmlformats.org/drawingml/2006/main" xmlns:pic="http://schemas.openxmlformats.org/drawingml/2006/picture">
              <a:graphicData uri="http://schemas.openxmlformats.org/drawingml/2006/picture">
                <pic:pic>
                  <pic:nvPicPr>
                    <pic:cNvPr id="0" name="cover_background.jpg"/>
                    <pic:cNvPicPr/>
                  </pic:nvPicPr>
                  <pic:blipFill>
                    <a:blip r:embed="rId9"/>
                    <a:stretch>
                      <a:fillRect/>
                    </a:stretch>
                  </pic:blipFill>
                  <pic:spPr>
                    <a:xfrm>
                      <a:off x="0" y="0"/>
                      <a:ext cx="7560000" cy="10692000"/>
                    </a:xfrm>
                    <a:prstGeom prst="rect"/>
                  </pic:spPr>
                </pic:pic>
              </a:graphicData>
            </a:graphic>
          </wp:anchor>
        </w:drawing>
      </w:r>
    </w:p>
    <w:p>
      <w:pPr>
        <w:spacing w:after="0"/>
        <w:jc w:val="right"/>
      </w:pPr>
      <w:r>
        <w:drawing>
          <wp:inline xmlns:a="http://schemas.openxmlformats.org/drawingml/2006/main" xmlns:pic="http://schemas.openxmlformats.org/drawingml/2006/picture">
            <wp:extent cx="2880000" cy="2880000"/>
            <wp:docPr id="2" name="Picture 2"/>
            <wp:cNvGraphicFramePr>
              <a:graphicFrameLocks noChangeAspect="1"/>
            </wp:cNvGraphicFramePr>
            <a:graphic>
              <a:graphicData uri="http://schemas.openxmlformats.org/drawingml/2006/picture">
                <pic:pic>
                  <pic:nvPicPr>
                    <pic:cNvPr id="0" name="jman_logo_white.png"/>
                    <pic:cNvPicPr/>
                  </pic:nvPicPr>
                  <pic:blipFill>
                    <a:blip r:embed="rId10"/>
                    <a:stretch>
                      <a:fillRect/>
                    </a:stretch>
                  </pic:blipFill>
                  <pic:spPr>
                    <a:xfrm>
                      <a:off x="0" y="0"/>
                      <a:ext cx="2880000" cy="2880000"/>
                    </a:xfrm>
                    <a:prstGeom prst="rect"/>
                  </pic:spPr>
                </pic:pic>
              </a:graphicData>
            </a:graphic>
          </wp:inline>
        </w:drawing>
      </w:r>
    </w:p>
    <w:p>
      <w:pPr>
        <w:spacing w:after="4200"/>
      </w:pPr>
    </w:p>
    <w:p>
      <w:pPr>
        <w:pBdr>
          <w:bottom w:val="single" w:sz="4" w:space="4" w:color="FFFFFF"/>
        </w:pBdr>
        <w:spacing w:after="240"/>
      </w:pPr>
    </w:p>
    <w:p>
      <w:pPr>
        <w:spacing w:after="280"/>
      </w:pPr>
      <w:r>
        <w:rPr>
          <w:rFonts w:ascii="Arial" w:hAnsi="Arial"/>
          <w:b/>
          <w:i w:val="0"/>
          <w:color w:val="FF6196"/>
          <w:sz w:val="30"/>
        </w:rPr>
        <w:t>STATEMENT OF WORK BETWEEN</w:t>
      </w:r>
    </w:p>
    <w:p>
      <w:pPr>
        <w:spacing w:after="120"/>
      </w:pPr>
      <w:r>
        <w:rPr>
          <w:rFonts w:ascii="Arial" w:hAnsi="Arial"/>
          <w:b/>
          <w:i w:val="0"/>
          <w:color w:val="173845"/>
          <w:sz w:val="60"/>
        </w:rPr>
        <w:t>Client</w:t>
      </w:r>
    </w:p>
    <w:p>
      <w:pPr>
        <w:spacing w:after="120"/>
      </w:pPr>
      <w:r>
        <w:rPr>
          <w:rFonts w:ascii="Arial" w:hAnsi="Arial"/>
          <w:b w:val="0"/>
          <w:i/>
          <w:color w:val="808080"/>
          <w:sz w:val="32"/>
        </w:rPr>
        <w:t>And</w:t>
      </w:r>
    </w:p>
    <w:p>
      <w:pPr>
        <w:spacing w:after="0"/>
      </w:pPr>
      <w:r>
        <w:rPr>
          <w:rFonts w:ascii="Arial" w:hAnsi="Arial"/>
          <w:b/>
          <w:i w:val="0"/>
          <w:color w:val="173845"/>
          <w:sz w:val="60"/>
        </w:rPr>
        <w:t>JMAN Group</w:t>
      </w:r>
    </w:p>
    <w:p>
      <w:pPr>
        <w:sectPr>
          <w:pgSz w:w="11906" w:h="16838"/>
          <w:pgMar w:top="567" w:right="992" w:bottom="567" w:left="992" w:header="720" w:footer="720" w:gutter="0"/>
          <w:cols w:space="720"/>
          <w:docGrid w:linePitch="360"/>
        </w:sectPr>
      </w:pPr>
    </w:p>
    <w:p>
      <w:pPr>
        <w:tabs>
          <w:tab w:pos="578" w:val="left"/>
        </w:tabs>
        <w:spacing w:before="280" w:after="160"/>
        <w:ind w:left="578" w:hanging="578"/>
      </w:pPr>
      <w:r>
        <w:rPr>
          <w:rFonts w:ascii="Arial" w:hAnsi="Arial"/>
          <w:b/>
          <w:i w:val="0"/>
          <w:color w:val="19105B"/>
          <w:sz w:val="24"/>
        </w:rPr>
        <w:t>1</w:t>
        <w:tab/>
      </w:r>
      <w:r>
        <w:rPr>
          <w:rFonts w:ascii="Arial" w:hAnsi="Arial"/>
          <w:b/>
          <w:i w:val="0"/>
          <w:color w:val="19105B"/>
          <w:sz w:val="24"/>
        </w:rPr>
        <w:t>Business Context</w:t>
      </w:r>
    </w:p>
    <w:p>
      <w:pPr>
        <w:spacing w:after="80"/>
      </w:pPr>
    </w:p>
    <w:p>
      <w:pPr>
        <w:spacing w:after="160" w:line="276" w:lineRule="auto"/>
      </w:pPr>
      <w:r>
        <w:rPr>
          <w:rFonts w:ascii="Arial" w:hAnsi="Arial"/>
          <w:b w:val="0"/>
          <w:i w:val="0"/>
          <w:color w:val="1D1C1C"/>
          <w:sz w:val="20"/>
        </w:rPr>
        <w:t>PURE FINANCIAL ADVISORS LLC operates within the financial advisory and wealth management sector, serving clients throughout the United States with comprehensive financial advisory services and asset management solutions. The company engages primarily in a B2C business model and is supported by key stakeholders including Jason Carver, Client Engagement Manager, and Lee Equity Partners as an investment partner.</w:t>
      </w:r>
    </w:p>
    <w:p>
      <w:pPr>
        <w:spacing w:after="80"/>
      </w:pPr>
    </w:p>
    <w:p>
      <w:pPr>
        <w:spacing w:after="160" w:line="276" w:lineRule="auto"/>
      </w:pPr>
      <w:r>
        <w:rPr>
          <w:rFonts w:ascii="Arial" w:hAnsi="Arial"/>
          <w:b w:val="0"/>
          <w:i w:val="0"/>
          <w:color w:val="1D1C1C"/>
          <w:sz w:val="20"/>
        </w:rPr>
        <w:t>PURE is initiating this project to develop enhanced Lead-to-AUM (L2A) pipeline and Customer Acquisition Cost (CAC) reporting, seeking to provide more granular insights into the journey from lead generation to assets under management, along with a clearer understanding of the return on marketing spend. The current environment relies on a suite of technology and data platforms—including Salesforce, Tamarac, Azure Blob Storage, Microsoft Fabric, Azure Synapse, Power BI, and the soon-to-be-integrated QuickBooks—to manage sales, client, and financial information. Presently, limitations exist in the granularity of pipeline reporting and integrated CAC insights, creating a lack of transparency for decision-makers and highlighting the need for improved integration—specifically with QuickBooks—and data quality assessments.</w:t>
      </w:r>
    </w:p>
    <w:p>
      <w:pPr>
        <w:spacing w:after="80"/>
      </w:pPr>
    </w:p>
    <w:p>
      <w:pPr>
        <w:spacing w:after="160" w:line="276" w:lineRule="auto"/>
      </w:pPr>
      <w:r>
        <w:rPr>
          <w:rFonts w:ascii="Arial" w:hAnsi="Arial"/>
          <w:b w:val="0"/>
          <w:i w:val="0"/>
          <w:color w:val="1D1C1C"/>
          <w:sz w:val="20"/>
        </w:rPr>
        <w:t>This initiative is strategically important for PURE’s ongoing growth and maturity as a data-driven organization. By establishing automated data ingestion, transformation, and reporting workflows, and delivering a unified L2A and CAC reporting suite, PURE aims to empower its data, technology, and marketing teams—and ultimately senior leadership—with accurate, actionable insights. The solution is expected to drive operational efficiency, inform marketing investments, and enable scalable, future-ready reporting capabilities that will support PURE’s long-term vision and continued expansion.</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2</w:t>
        <w:tab/>
      </w:r>
      <w:r>
        <w:rPr>
          <w:rFonts w:ascii="Arial" w:hAnsi="Arial"/>
          <w:b/>
          <w:i w:val="0"/>
          <w:color w:val="19105B"/>
          <w:sz w:val="24"/>
        </w:rPr>
        <w:t>Overview</w:t>
      </w:r>
    </w:p>
    <w:p>
      <w:pPr>
        <w:spacing w:after="80"/>
      </w:pPr>
    </w:p>
    <w:p>
      <w:pPr>
        <w:spacing w:after="160" w:line="276" w:lineRule="auto"/>
      </w:pPr>
      <w:r>
        <w:rPr>
          <w:rFonts w:ascii="Arial" w:hAnsi="Arial"/>
          <w:b w:val="0"/>
          <w:i w:val="0"/>
          <w:color w:val="1D1C1C"/>
          <w:sz w:val="20"/>
        </w:rPr>
        <w:t>Currently, PURE FINANCIAL ADVISORS LLC relies on the coordinated efforts of its data, technology, and marketing teams to support pipeline and customer acquisition reporting. These teams utilize a range of systems, including Salesforce and Tamarac for client and asset management, Azure Blob Storage for data storage, and Microsoft Fabric and Azure Synapse as integrated data platforms. Power BI serves as the primary reporting and analytics suite, delivering operational dashboards and reports.</w:t>
      </w:r>
    </w:p>
    <w:p>
      <w:pPr>
        <w:spacing w:after="80"/>
      </w:pPr>
    </w:p>
    <w:p>
      <w:pPr>
        <w:spacing w:after="160" w:line="276" w:lineRule="auto"/>
      </w:pPr>
      <w:r>
        <w:rPr>
          <w:rFonts w:ascii="Arial" w:hAnsi="Arial"/>
          <w:b w:val="0"/>
          <w:i w:val="0"/>
          <w:color w:val="1D1C1C"/>
          <w:sz w:val="20"/>
        </w:rPr>
        <w:t>The main data sources underpinning reporting activities are Salesforce, Tamarac, Azure Blob Storage, and QuickBooks. While Power BI provides the central analytics environment, integration of QuickBooks data is underway, with a focus on ensuring optimal data quality for Customer Acquisition Cost (CAC) reporting. Current infrastructure is based in Microsoft Fabric and Azure Synapse, enabling batch data processing through automated pipelines.</w:t>
      </w:r>
    </w:p>
    <w:p>
      <w:pPr>
        <w:spacing w:after="80"/>
      </w:pPr>
    </w:p>
    <w:p>
      <w:pPr>
        <w:spacing w:after="160" w:line="276" w:lineRule="auto"/>
      </w:pPr>
      <w:r>
        <w:rPr>
          <w:rFonts w:ascii="Arial" w:hAnsi="Arial"/>
          <w:b w:val="0"/>
          <w:i w:val="0"/>
          <w:color w:val="1D1C1C"/>
          <w:sz w:val="20"/>
        </w:rPr>
        <w:t>The client’s workflow presently includes manual processes not explicitly described in the documentation. Integration challenges center on connecting and ingesting data from QuickBooks, as well as assessing the quality of this data for reliable CAC insights. No performance, scalability, or data governance policies have been documented, and current operations do not mention API availability, approval workflows, or alert/notification requirements.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3</w:t>
        <w:tab/>
      </w:r>
      <w:r>
        <w:rPr>
          <w:rFonts w:ascii="Arial" w:hAnsi="Arial"/>
          <w:b/>
          <w:i w:val="0"/>
          <w:color w:val="19105B"/>
          <w:sz w:val="24"/>
        </w:rPr>
        <w:t>Understanding</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Limited granularity exists in current pipeline reporting, restricting the ability to analyze the detailed journey from lead generation to assets under management (AUM).</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 current reporting environment lacks integrated, actionable insights into Customer Acquisition Cost (CAC), inhibiting transparency around marketing return on investment.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Enhanced Lead-to-AUM (L2A) and CAC data models are required to enable more comprehensive and segmented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Data ingestion and integration from QuickBooks are mandatory to support accurate CAC analysis and unified financial visibility.</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Automated data ingestion and transformation workflows are required for consistent, up-to-date L2A and CAC reporting without reliance on manual data handling.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Data quality assessments are needed to ensure the reliability of CAC calculations and pipeline analytics.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Key user groups who will interact with or rely on the solution include data and technology stakeholders, senior leadership, and marketing teams.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Dependencies exist around timely access to Salesforce, QuickBooks, and the existing Microsoft Fabric and Azure Synapse data platforms for successful integration and reporting.</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4</w:t>
        <w:tab/>
      </w:r>
      <w:r>
        <w:rPr>
          <w:rFonts w:ascii="Arial" w:hAnsi="Arial"/>
          <w:b/>
          <w:i w:val="0"/>
          <w:color w:val="19105B"/>
          <w:sz w:val="24"/>
        </w:rPr>
        <w:t>Objectives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 a comprehensive Lead-to-AUM (L2A) and Customer Acquisition Cost (CAC) data model and reporting suite to provide granular insights into pipeline performance and marketing return on investment.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Automate data ingestion, transformation, and reporting refresh processes to ensure timely and consistent analytics across all relevant platforms.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Enable leadership to gain a detailed, actionable understanding of the journey from lead generation to AUM, as well as precise measurement of marketing effectiveness and spend.</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Enhance Power BI dashboards with clear KPI definitions and improved visualizations to support better decision-making and user experience.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Strengthen pipeline reporting and customer acquisition cost tracking to drive operational efficiency and data-driven growth.</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Establish a scalable reporting platform capable of integrating with Salesforce, QuickBooks, Tamarac, and Azure Fabric, supporting future data sources and evolving business requirements.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5</w:t>
        <w:tab/>
      </w:r>
      <w:r>
        <w:rPr>
          <w:rFonts w:ascii="Arial" w:hAnsi="Arial"/>
          <w:b/>
          <w:i w:val="0"/>
          <w:color w:val="19105B"/>
          <w:sz w:val="24"/>
        </w:rPr>
        <w:t>Deliverables</w:t>
      </w:r>
    </w:p>
    <w:p>
      <w:pPr>
        <w:spacing w:after="80"/>
      </w:pPr>
    </w:p>
    <w:p>
      <w:pPr>
        <w:spacing w:after="160" w:line="276" w:lineRule="auto"/>
      </w:pPr>
      <w:r>
        <w:rPr>
          <w:rFonts w:ascii="Arial" w:hAnsi="Arial"/>
          <w:b w:val="0"/>
          <w:i w:val="0"/>
          <w:color w:val="1D1C1C"/>
          <w:sz w:val="20"/>
        </w:rPr>
        <w:t>Throughout the engagement with PURE FINANCIAL ADVISORS LLC, the following key deliverables and artifacts will be provided to ensure a comprehensive and actionable outcome aligned with the project objectives:</w:t>
      </w:r>
    </w:p>
    <w:p>
      <w:pPr>
        <w:spacing w:after="80"/>
      </w:pPr>
    </w:p>
    <w:p>
      <w:pPr>
        <w:spacing w:after="160" w:line="276" w:lineRule="auto"/>
      </w:pPr>
      <w:r>
        <w:rPr>
          <w:rFonts w:ascii="Arial" w:hAnsi="Arial"/>
          <w:b w:val="0"/>
          <w:i w:val="0"/>
          <w:color w:val="1D1C1C"/>
          <w:sz w:val="20"/>
        </w:rPr>
        <w:t xml:space="preserve">1. </w:t>
      </w:r>
      <w:r>
        <w:rPr>
          <w:rFonts w:ascii="Arial" w:hAnsi="Arial"/>
          <w:b/>
          <w:i w:val="0"/>
          <w:color w:val="1D1C1C"/>
          <w:sz w:val="20"/>
        </w:rPr>
        <w:t>KPI Book</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Comprehensive catalog of Lead-to-AUM (L2A) and Customer Acquisition Cost (CAC) KPIs, including definitions, calculation logic, and business context.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Format: Structured document (PDF and editable format) with supporting diagrams or formulas as needed.</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Delivery: End of Phase 3A (within 3 weeks).</w:t>
      </w:r>
    </w:p>
    <w:p>
      <w:pPr>
        <w:spacing w:after="80"/>
      </w:pPr>
    </w:p>
    <w:p>
      <w:pPr>
        <w:spacing w:after="160" w:line="276" w:lineRule="auto"/>
      </w:pPr>
      <w:r>
        <w:rPr>
          <w:rFonts w:ascii="Arial" w:hAnsi="Arial"/>
          <w:b w:val="0"/>
          <w:i w:val="0"/>
          <w:color w:val="1D1C1C"/>
          <w:sz w:val="20"/>
        </w:rPr>
        <w:t xml:space="preserve">2. </w:t>
      </w:r>
      <w:r>
        <w:rPr>
          <w:rFonts w:ascii="Arial" w:hAnsi="Arial"/>
          <w:b/>
          <w:i w:val="0"/>
          <w:color w:val="1D1C1C"/>
          <w:sz w:val="20"/>
        </w:rPr>
        <w:t>Power BI Mock-Ups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Interactive wireframes and mock-ups for up to 8 Power BI report views focused on L2A and CAC analytics.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Format: Power BI prototype files and visual documentation (PDF), illustrating layouts, filters, and key visualizations.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Delivery: End of Phase 3A (within 3 weeks).</w:t>
      </w:r>
    </w:p>
    <w:p>
      <w:pPr>
        <w:spacing w:after="80"/>
      </w:pPr>
    </w:p>
    <w:p>
      <w:pPr>
        <w:spacing w:after="160" w:line="276" w:lineRule="auto"/>
      </w:pPr>
      <w:r>
        <w:rPr>
          <w:rFonts w:ascii="Arial" w:hAnsi="Arial"/>
          <w:b w:val="0"/>
          <w:i w:val="0"/>
          <w:color w:val="1D1C1C"/>
          <w:sz w:val="20"/>
        </w:rPr>
        <w:t xml:space="preserve">3. </w:t>
      </w:r>
      <w:r>
        <w:rPr>
          <w:rFonts w:ascii="Arial" w:hAnsi="Arial"/>
          <w:b/>
          <w:i w:val="0"/>
          <w:color w:val="1D1C1C"/>
          <w:sz w:val="20"/>
        </w:rPr>
        <w:t>Data Model Design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Detailed technical schema and entity-relationship diagrams for the L2A and CAC data models.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Data source mapping, entity structures, data flows, and transformation logic required for automation.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Format: Data model diagrams and supporting technical documentation.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Delivery: End of Phase 3A (within 3 weeks).</w:t>
      </w:r>
    </w:p>
    <w:p>
      <w:pPr>
        <w:spacing w:after="80"/>
      </w:pPr>
    </w:p>
    <w:p>
      <w:pPr>
        <w:spacing w:after="160" w:line="276" w:lineRule="auto"/>
      </w:pPr>
      <w:r>
        <w:rPr>
          <w:rFonts w:ascii="Arial" w:hAnsi="Arial"/>
          <w:b w:val="0"/>
          <w:i w:val="0"/>
          <w:color w:val="1D1C1C"/>
          <w:sz w:val="20"/>
        </w:rPr>
        <w:t xml:space="preserve">4. </w:t>
      </w:r>
      <w:r>
        <w:rPr>
          <w:rFonts w:ascii="Arial" w:hAnsi="Arial"/>
          <w:b/>
          <w:i w:val="0"/>
          <w:color w:val="1D1C1C"/>
          <w:sz w:val="20"/>
        </w:rPr>
        <w:t>Data Gap Assessment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Identification and documentation of data gaps, mapping current state data sources (Salesforce, Tamarac, Azure Blob Storage, QuickBooks) against the desired reporting requirements.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Recommendations for resolving any gaps impacting data integrity or completeness.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Format: Assessment report summarizing findings, recommendations, and remediation actions.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Delivery: End of Phase 3A (within 3 weeks).</w:t>
      </w:r>
    </w:p>
    <w:p>
      <w:pPr>
        <w:spacing w:after="80"/>
      </w:pPr>
    </w:p>
    <w:p>
      <w:pPr>
        <w:spacing w:after="160" w:line="276" w:lineRule="auto"/>
      </w:pPr>
      <w:r>
        <w:rPr>
          <w:rFonts w:ascii="Arial" w:hAnsi="Arial"/>
          <w:b w:val="0"/>
          <w:i w:val="0"/>
          <w:color w:val="1D1C1C"/>
          <w:sz w:val="20"/>
        </w:rPr>
        <w:t xml:space="preserve">5. </w:t>
      </w:r>
      <w:r>
        <w:rPr>
          <w:rFonts w:ascii="Arial" w:hAnsi="Arial"/>
          <w:b/>
          <w:i w:val="0"/>
          <w:color w:val="1D1C1C"/>
          <w:sz w:val="20"/>
        </w:rPr>
        <w:t>Technical Approach Document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Detailed plan outlining integration methods for QuickBooks and Salesforce, ingestion strategies, and automation pipelines on Microsoft Fabric and Azure Synapse.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Documentation of technical architecture, batch processing schedules, and proposed data quality controls.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Format: Written technical design document and associated architectural diagrams.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Delivery: End of Phase 3A (within 3 weeks).</w:t>
      </w:r>
    </w:p>
    <w:p>
      <w:pPr>
        <w:spacing w:after="80"/>
      </w:pPr>
    </w:p>
    <w:p>
      <w:pPr>
        <w:spacing w:after="160" w:line="276" w:lineRule="auto"/>
      </w:pPr>
      <w:r>
        <w:rPr>
          <w:rFonts w:ascii="Arial" w:hAnsi="Arial"/>
          <w:b w:val="0"/>
          <w:i w:val="0"/>
          <w:color w:val="1D1C1C"/>
          <w:sz w:val="20"/>
        </w:rPr>
        <w:t xml:space="preserve">6. </w:t>
      </w:r>
      <w:r>
        <w:rPr>
          <w:rFonts w:ascii="Arial" w:hAnsi="Arial"/>
          <w:b/>
          <w:i w:val="0"/>
          <w:color w:val="1D1C1C"/>
          <w:sz w:val="20"/>
        </w:rPr>
        <w:t>Phase 3B Implementation Plan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Step-by-step phased roadmap for implementation of the approved data model, integrations, data ingestion, and reporting suite.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Timeline estimates, resource requirements, dependencies, and key milestones.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Format: Project plan (Gantt chart or roadmap), presented as both an executive summary and detailed plan.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Delivery: End of Phase 3A (within 3 weeks), refined prior to Phase 3B kickoff.</w:t>
      </w:r>
    </w:p>
    <w:p>
      <w:pPr>
        <w:spacing w:after="80"/>
      </w:pPr>
    </w:p>
    <w:p>
      <w:pPr>
        <w:spacing w:after="160" w:line="276" w:lineRule="auto"/>
      </w:pPr>
      <w:r>
        <w:rPr>
          <w:rFonts w:ascii="Arial" w:hAnsi="Arial"/>
          <w:b w:val="0"/>
          <w:i w:val="0"/>
          <w:color w:val="1D1C1C"/>
          <w:sz w:val="20"/>
        </w:rPr>
        <w:t>Each deliverable will be iteratively reviewed with PURE FINANCIAL ADVISORS LLC's leadership and technical teams to ensure alignment with business goals and to incorporate feedback promptly. This structured approach guarantees transparency, accountability, and measurable value throughout the engagement lifecycle.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6</w:t>
        <w:tab/>
      </w:r>
      <w:r>
        <w:rPr>
          <w:rFonts w:ascii="Arial" w:hAnsi="Arial"/>
          <w:b/>
          <w:i w:val="0"/>
          <w:color w:val="19105B"/>
          <w:sz w:val="24"/>
        </w:rPr>
        <w:t>Approach</w:t>
      </w:r>
    </w:p>
    <w:p>
      <w:pPr>
        <w:spacing w:after="80"/>
      </w:pPr>
    </w:p>
    <w:p>
      <w:pPr>
        <w:spacing w:after="160" w:line="276" w:lineRule="auto"/>
      </w:pPr>
      <w:r>
        <w:rPr>
          <w:rFonts w:ascii="Arial" w:hAnsi="Arial"/>
          <w:b w:val="0"/>
          <w:i w:val="0"/>
          <w:color w:val="1D1C1C"/>
          <w:sz w:val="20"/>
        </w:rPr>
        <w:t>This engagement with PURE FINANCIAL ADVISORS LLC is structured around a proven, collaborative methodology designed to deliver enhanced Lead-to-AUM (L2A) and Customer Acquisition Cost (CAC) reporting. The approach combines stakeholder alignment, rigorous business analysis, technical solution design, and iterative development to ensure actionable insights for pipeline performance and marketing ROI. By integrating data across Salesforce, Tamarac, Azure Blob Storage, and QuickBooks into a scalable Microsoft Fabric and Power BI environment, we will empower data-driven decision making.</w:t>
      </w:r>
    </w:p>
    <w:p>
      <w:pPr>
        <w:spacing w:after="80"/>
      </w:pPr>
    </w:p>
    <w:p>
      <w:pPr>
        <w:spacing w:after="160" w:line="276" w:lineRule="auto"/>
      </w:pPr>
      <w:r>
        <w:rPr>
          <w:rFonts w:ascii="Arial" w:hAnsi="Arial"/>
          <w:b w:val="0"/>
          <w:i w:val="0"/>
          <w:color w:val="1D1C1C"/>
          <w:sz w:val="20"/>
        </w:rPr>
        <w:t>Our methodology is phased to address dependencies and business priorities. Phase 3A will focus on engaging key business and technology stakeholders, defining clear KPIs, and producing the foundational designs for data models and reporting. Phase 3B will execute the end-to-end solution build, including data integration, automation, and delivery of Power BI dashboards, while ensuring data quality and technical robustness. All activities are aligned with the project's expected outcomes and deliverables.</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3A: Discovery and Design, Duration: 3 weeks, Timeline: Week 1 to Week 3</w:t>
      </w:r>
    </w:p>
    <w:p>
      <w:pPr>
        <w:spacing w:after="160" w:line="276" w:lineRule="auto"/>
      </w:pPr>
      <w:r>
        <w:rPr>
          <w:rFonts w:ascii="Arial" w:hAnsi="Arial"/>
          <w:b/>
          <w:i w:val="0"/>
          <w:color w:val="1D1C1C"/>
          <w:sz w:val="20"/>
        </w:rPr>
        <w:t>Summary:</w:t>
      </w:r>
      <w:r>
        <w:rPr>
          <w:rFonts w:ascii="Arial" w:hAnsi="Arial"/>
          <w:b w:val="0"/>
          <w:i w:val="0"/>
          <w:color w:val="1D1C1C"/>
          <w:sz w:val="20"/>
        </w:rPr>
        <w:t xml:space="preserve"> Define business requirements, KPIs, technical approach, and design prototypes to guide the solution build.</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Conduct stakeholder workshops to refine Lead-to-AUM and CAC reporting requirements and business context.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a comprehensive KPI Book detailing L2A and CAC metrics, definitions, and calculation logic.</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Design the conceptual and logical data model, visualizing relationships across Salesforce, Tamarac, Azure Blob Storage, and QuickBooks.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Create Power BI reporting mock-ups (up to 8 views) to validate reporting requirements and user experience expectations.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Assess data gaps and integration points, particularly for QuickBooks ingestion and data quality.</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Prepare a detailed Technical Approach and Phase 3B Implementation Plan, mapping out tasks, dependencies, and resource needs.</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3B: Solution Build and Implementation, Duration: 8–12 weeks, Timeline: Week 4 to Week 15</w:t>
      </w:r>
    </w:p>
    <w:p>
      <w:pPr>
        <w:spacing w:after="160" w:line="276" w:lineRule="auto"/>
      </w:pPr>
      <w:r>
        <w:rPr>
          <w:rFonts w:ascii="Arial" w:hAnsi="Arial"/>
          <w:b/>
          <w:i w:val="0"/>
          <w:color w:val="1D1C1C"/>
          <w:sz w:val="20"/>
        </w:rPr>
        <w:t>Summary:</w:t>
      </w:r>
      <w:r>
        <w:rPr>
          <w:rFonts w:ascii="Arial" w:hAnsi="Arial"/>
          <w:b w:val="0"/>
          <w:i w:val="0"/>
          <w:color w:val="1D1C1C"/>
          <w:sz w:val="20"/>
        </w:rPr>
        <w:t xml:space="preserve"> Build, test, and deliver the end-to-end L2A and CAC data and reporting solution leveraging Azure and Power BI platforms.</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Ingest and integrate data from QuickBooks and Salesforce into Microsoft Fabric and Azure Synapse, ensuring automated batch processing pipelines.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Implement the approved L2A and CAC data model within the Fabric platform, including transformation and storage layers.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and validate Power BI dashboards based on Phase 3A mock-ups, incorporating advanced visualizations and KPI calculations.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Conduct data quality assessments and apply cleansing routines to support accurate and reliable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Automate data ingestion, transformation, and reporting refresh processes to ensure seamless user access to current insights.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Provide solution documentation, user training, and knowledge transfer sessions for data, technology, and marketing teams.</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val="0"/>
          <w:i w:val="0"/>
          <w:color w:val="1D1C1C"/>
          <w:sz w:val="20"/>
        </w:rPr>
        <w:t>This phased approach enables PURE FINANCIAL ADVISORS LLC to achieve rapid alignment, clear requirements definition, and controlled delivery of a scalable L2A and CAC reporting ecosystem. By structuring the methodology around stakeholder priorities and technical dependencies, we ensure sustained project momentum, early risk mitigation, and tangible business value at every stage.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7</w:t>
        <w:tab/>
      </w:r>
      <w:r>
        <w:rPr>
          <w:rFonts w:ascii="Arial" w:hAnsi="Arial"/>
          <w:b/>
          <w:i w:val="0"/>
          <w:color w:val="19105B"/>
          <w:sz w:val="24"/>
        </w:rPr>
        <w:t>Outcomes</w:t>
      </w:r>
    </w:p>
    <w:p>
      <w:pPr>
        <w:spacing w:after="80"/>
      </w:pPr>
    </w:p>
    <w:p>
      <w:pPr>
        <w:spacing w:after="160" w:line="276" w:lineRule="auto"/>
      </w:pPr>
      <w:r>
        <w:rPr>
          <w:rFonts w:ascii="Arial" w:hAnsi="Arial"/>
          <w:b w:val="0"/>
          <w:i w:val="0"/>
          <w:color w:val="1D1C1C"/>
          <w:sz w:val="20"/>
        </w:rPr>
        <w:t>This engagement will empower PURE FINANCIAL ADVISORS LLC with greater visibility and actionable insights into pipeline performance and marketing return on investment, through the development of enhanced Lead-to-AUM (L2A) and Customer Acquisition Cost (CAC) reporting. By automating data ingestion and integrating key platforms, PURE will gain accurate, timely, and granular information to support informed decision-making and drive business growth. Success will be measured by the quality and depth of insights, improved KPI tracking, and the scalability of reporting capabilities for future needs.</w:t>
      </w:r>
    </w:p>
    <w:p>
      <w:pPr>
        <w:spacing w:after="80"/>
      </w:pPr>
    </w:p>
    <w:p>
      <w:pPr>
        <w:spacing w:before="200" w:after="80"/>
      </w:pPr>
      <w:r>
        <w:rPr>
          <w:rFonts w:ascii="Arial" w:hAnsi="Arial"/>
          <w:b/>
          <w:i w:val="0"/>
          <w:color w:val="FF6196"/>
          <w:sz w:val="22"/>
        </w:rPr>
        <w:t>Expected Business Outcomes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Granular Pipeline Insights:</w:t>
      </w:r>
      <w:r>
        <w:rPr>
          <w:rFonts w:ascii="Arial" w:hAnsi="Arial"/>
          <w:b w:val="0"/>
          <w:i w:val="0"/>
          <w:color w:val="1D1C1C"/>
          <w:sz w:val="20"/>
        </w:rPr>
        <w:t xml:space="preserve"> Pure will benefit from detailed reporting of the journey from lead generation to Assets Under Management (AUM), allowing for more strategic pipeline management and resource allocation.</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Accurate CAC Measurement:</w:t>
      </w:r>
      <w:r>
        <w:rPr>
          <w:rFonts w:ascii="Arial" w:hAnsi="Arial"/>
          <w:b w:val="0"/>
          <w:i w:val="0"/>
          <w:color w:val="1D1C1C"/>
          <w:sz w:val="20"/>
        </w:rPr>
        <w:t xml:space="preserve"> Leadership will gain precise visibility into customer acquisition costs, with automated, integrated reporting that improves understanding of marketing ROI and enables cost optimization.</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Automated Analytics Processes:</w:t>
      </w:r>
      <w:r>
        <w:rPr>
          <w:rFonts w:ascii="Arial" w:hAnsi="Arial"/>
          <w:b w:val="0"/>
          <w:i w:val="0"/>
          <w:color w:val="1D1C1C"/>
          <w:sz w:val="20"/>
        </w:rPr>
        <w:t xml:space="preserve"> The automation of data ingestion and transformation pipelines will reduce manual effort, minimize errors, and ensure timely delivery of L2A and CAC analytics.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Integrated Reporting Suite:</w:t>
      </w:r>
      <w:r>
        <w:rPr>
          <w:rFonts w:ascii="Arial" w:hAnsi="Arial"/>
          <w:b w:val="0"/>
          <w:i w:val="0"/>
          <w:color w:val="1D1C1C"/>
          <w:sz w:val="20"/>
        </w:rPr>
        <w:t xml:space="preserve"> Implementation of comprehensive Power BI dashboards and integrated data sources, including QuickBooks and Salesforce, will provide a single source of truth for pipeline and CAC metrics.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Improved KPI Tracking:</w:t>
      </w:r>
      <w:r>
        <w:rPr>
          <w:rFonts w:ascii="Arial" w:hAnsi="Arial"/>
          <w:b w:val="0"/>
          <w:i w:val="0"/>
          <w:color w:val="1D1C1C"/>
          <w:sz w:val="20"/>
        </w:rPr>
        <w:t xml:space="preserve"> Enhanced definition, logic, and tracking of key metrics—such as Lead-to-AUM conversion rates and CAC KPIs—will support continuous performance improvement and informed business decisions.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Scalable Data Platform:</w:t>
      </w:r>
      <w:r>
        <w:rPr>
          <w:rFonts w:ascii="Arial" w:hAnsi="Arial"/>
          <w:b w:val="0"/>
          <w:i w:val="0"/>
          <w:color w:val="1D1C1C"/>
          <w:sz w:val="20"/>
        </w:rPr>
        <w:t xml:space="preserve"> Establishing scalable data and reporting infrastructure on Microsoft Fabric and Azure Synapse ensures future readiness for additional data sources and evolving business intelligence needs.</w:t>
      </w:r>
    </w:p>
    <w:p>
      <w:pPr>
        <w:spacing w:after="80"/>
      </w:pPr>
    </w:p>
    <w:p>
      <w:pPr>
        <w:spacing w:after="160" w:line="276" w:lineRule="auto"/>
      </w:pPr>
      <w:r>
        <w:rPr>
          <w:rFonts w:ascii="Arial" w:hAnsi="Arial"/>
          <w:b w:val="0"/>
          <w:i w:val="0"/>
          <w:color w:val="1D1C1C"/>
          <w:sz w:val="20"/>
        </w:rPr>
        <w:t>Success will be achieved when PURE FINANCIAL ADVISORS LLC has automated, integrated, and actionable L2A and CAC reporting embedded in daily operations, enabling leadership to optimize marketing investments and drive effective pipeline growth.</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8</w:t>
        <w:tab/>
      </w:r>
      <w:r>
        <w:rPr>
          <w:rFonts w:ascii="Arial" w:hAnsi="Arial"/>
          <w:b/>
          <w:i w:val="0"/>
          <w:color w:val="19105B"/>
          <w:sz w:val="24"/>
        </w:rPr>
        <w:t>Business Impact</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Improved Financial Transparency:</w:t>
      </w:r>
      <w:r>
        <w:rPr>
          <w:rFonts w:ascii="Arial" w:hAnsi="Arial"/>
          <w:b w:val="0"/>
          <w:i w:val="0"/>
          <w:color w:val="1D1C1C"/>
          <w:sz w:val="20"/>
        </w:rPr>
        <w:t xml:space="preserve"> Delivering enhanced Lead-to-AUM (L2A) and Customer Acquisition Cost (CAC) reporting will allow PURE FINANCIAL ADVISORS LLC to gain unprecedented granularity into pipeline performance and marketing spend. This enables leadership to pinpoint return on investment and optimize resource allocation across client acquisition channels for measurable financial improvement.</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Operational Efficiency Through Automation:</w:t>
      </w:r>
      <w:r>
        <w:rPr>
          <w:rFonts w:ascii="Arial" w:hAnsi="Arial"/>
          <w:b w:val="0"/>
          <w:i w:val="0"/>
          <w:color w:val="1D1C1C"/>
          <w:sz w:val="20"/>
        </w:rPr>
        <w:t xml:space="preserve"> By automating data ingestion, transformation, and reporting refresh processes across Salesforce, Tamarac, Azure Blob Storage, and QuickBooks, manual reporting effort will be dramatically reduced. This shift to batch processing via Microsoft Fabric ensures timely, accurate insights with less operational overhead and frees up staff for value-added tasks.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Strategic Value Creation:</w:t>
      </w:r>
      <w:r>
        <w:rPr>
          <w:rFonts w:ascii="Arial" w:hAnsi="Arial"/>
          <w:b w:val="0"/>
          <w:i w:val="0"/>
          <w:color w:val="1D1C1C"/>
          <w:sz w:val="20"/>
        </w:rPr>
        <w:t xml:space="preserve"> Integration of multiple data sources coupled with advanced KPI logic and Power BI dashboards equips senior leadership with actionable intelligence. The improved reporting suite supports targeted decision-making, strengthens strategic planning, and helps chart pathways to sustainable growth and improved data maturity.</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Enhanced ROI Measurement:</w:t>
      </w:r>
      <w:r>
        <w:rPr>
          <w:rFonts w:ascii="Arial" w:hAnsi="Arial"/>
          <w:b w:val="0"/>
          <w:i w:val="0"/>
          <w:color w:val="1D1C1C"/>
          <w:sz w:val="20"/>
        </w:rPr>
        <w:t xml:space="preserve"> The new reporting suite and granular KPIs provide clear visibility into the correlation between marketing investments and asset growth. Optimizing marketing ROI with more accurate CAC tracking empowers PURE to identify high-yield campaign strategies, potentially reducing CAC by up to 20% and increasing conversion rates from lead to AUM.</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Scalable Platform for Growth:</w:t>
      </w:r>
      <w:r>
        <w:rPr>
          <w:rFonts w:ascii="Arial" w:hAnsi="Arial"/>
          <w:b w:val="0"/>
          <w:i w:val="0"/>
          <w:color w:val="1D1C1C"/>
          <w:sz w:val="20"/>
        </w:rPr>
        <w:t xml:space="preserve"> The designed data model and reporting solution will be scalable to accommodate future expansion and new data sources. This lays a robust foundation for ongoing growth, supports future integrations, and drives PURE’s evolution toward more sophisticated, scalable analytics capabilities aligned with long-term goals.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Competitive Advantage via Data-Driven Insights:</w:t>
      </w:r>
      <w:r>
        <w:rPr>
          <w:rFonts w:ascii="Arial" w:hAnsi="Arial"/>
          <w:b w:val="0"/>
          <w:i w:val="0"/>
          <w:color w:val="1D1C1C"/>
          <w:sz w:val="20"/>
        </w:rPr>
        <w:t xml:space="preserve"> With integrated, automated, and visually rich reporting (Power BI dashboards with up to eight views), PURE can outperform competitors in market responsiveness and client engagement insights. Superior intelligence enables proactive marketing adjustments and service personalization, differentiating PURE in the US financial advisory industry.</w:t>
      </w:r>
    </w:p>
    <w:p>
      <w:pPr>
        <w:spacing w:after="80"/>
      </w:pPr>
    </w:p>
    <w:p>
      <w:pPr>
        <w:spacing w:after="160" w:line="276" w:lineRule="auto"/>
      </w:pPr>
      <w:r>
        <w:rPr>
          <w:rFonts w:ascii="Arial" w:hAnsi="Arial"/>
          <w:b w:val="0"/>
          <w:i w:val="0"/>
          <w:color w:val="1D1C1C"/>
          <w:sz w:val="20"/>
        </w:rPr>
        <w:t>In summary, this engagement will unlock substantial business value for PURE FINANCIAL ADVISORS LLC by elevating financial transparency, operational efficiency, and strategic insight. Enhanced automation and scalable infrastructure empower PURE to make informed decisions, maximize marketing ROI, and secure a sustainable competitive advantage in the wealth management sector.</w:t>
      </w:r>
    </w:p>
    <w:p>
      <w:pPr>
        <w:pBdr>
          <w:bottom w:val="single" w:sz="8" w:space="1" w:color="FF6196"/>
        </w:pBdr>
        <w:spacing w:before="40" w:after="200"/>
      </w:pPr>
    </w:p>
    <w:sectPr w:rsidR="00FC693F" w:rsidRPr="0006063C" w:rsidSect="00034616">
      <w:headerReference w:type="default" r:id="rId11"/>
      <w:footerReference w:type="default" r:id="rId12"/>
      <w:pgSz w:w="11906" w:h="16838"/>
      <w:pgMar w:top="1020" w:right="992" w:bottom="510" w:left="992"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0" w:val="left"/>
        <w:tab w:pos="4819" w:val="center"/>
        <w:tab w:pos="9921" w:val="right"/>
      </w:tabs>
      <w:spacing w:before="80" w:after="0"/>
      <w:pBdr>
        <w:top w:val="single" w:sz="8" w:space="4" w:color="173845"/>
      </w:pBdr>
    </w:pPr>
    <w:r>
      <w:rPr>
        <w:rFonts w:ascii="Arial" w:hAnsi="Arial"/>
        <w:b w:val="0"/>
        <w:i w:val="0"/>
        <w:color w:val="808080"/>
        <w:sz w:val="16"/>
      </w:rPr>
      <w:t>Circulation Limited: Client</w:t>
    </w:r>
    <w:r>
      <w:rPr>
        <w:rFonts w:ascii="Arial" w:hAnsi="Arial"/>
        <w:b w:val="0"/>
        <w:i w:val="0"/>
        <w:sz w:val="16"/>
      </w:rPr>
      <w:tab/>
    </w:r>
    <w:r>
      <w:rPr>
        <w:rFonts w:ascii="Arial" w:hAnsi="Arial"/>
        <w:b w:val="0"/>
        <w:i w:val="0"/>
        <w:color w:val="808080"/>
        <w:sz w:val="16"/>
      </w:rPr>
      <w:t>Version v1.0</w:t>
    </w:r>
    <w:r>
      <w:rPr>
        <w:rFonts w:ascii="Arial" w:hAnsi="Arial"/>
        <w:b w:val="0"/>
        <w:i w:val="0"/>
        <w:sz w:val="16"/>
      </w:rPr>
      <w:tab/>
    </w:r>
    <w:r>
      <w:rPr>
        <w:rFonts w:ascii="Arial" w:hAnsi="Arial"/>
        <w:b w:val="0"/>
        <w:i/>
        <w:color w:val="808080"/>
        <w:sz w:val="16"/>
      </w:rPr>
      <w:t>June 2026</w:t>
    </w:r>
    <w:r>
      <w:rPr>
        <w:rFonts w:ascii="Arial" w:hAnsi="Arial"/>
        <w:b w:val="0"/>
        <w:i w:val="0"/>
        <w:sz w:val="16"/>
      </w:rPr>
      <w:t xml:space="preserve"> </w:t>
    </w:r>
    <w:r>
      <w:rPr>
        <w:color w:val="808080"/>
        <w:sz w:val="16"/>
      </w:rPr>
      <w:fld>
        <w:instrText>PAGE</w:instrText>
      </w:fld>
    </w:r>
    <w:r>
      <w:rPr>
        <w:rFonts w:ascii="Arial" w:hAnsi="Arial"/>
        <w:b w:val="0"/>
        <w:i w:val="0"/>
        <w:sz w:val="16"/>
      </w:rPr>
      <w:t xml:space="preserve"> </w:t>
    </w:r>
    <w:r>
      <w:drawing>
        <wp:inline xmlns:a="http://schemas.openxmlformats.org/drawingml/2006/main" xmlns:pic="http://schemas.openxmlformats.org/drawingml/2006/picture">
          <wp:extent cx="1104417" cy="162000"/>
          <wp:docPr id="1" name="Picture 1"/>
          <wp:cNvGraphicFramePr>
            <a:graphicFrameLocks noChangeAspect="1"/>
          </wp:cNvGraphicFramePr>
          <a:graphic>
            <a:graphicData uri="http://schemas.openxmlformats.org/drawingml/2006/picture">
              <pic:pic>
                <pic:nvPicPr>
                  <pic:cNvPr id="0" name="jman_corner_mark.png"/>
                  <pic:cNvPicPr/>
                </pic:nvPicPr>
                <pic:blipFill>
                  <a:blip r:embed="rId1"/>
                  <a:stretch>
                    <a:fillRect/>
                  </a:stretch>
                </pic:blipFill>
                <pic:spPr>
                  <a:xfrm>
                    <a:off x="0" y="0"/>
                    <a:ext cx="1104417" cy="162000"/>
                  </a:xfrm>
                  <a:prstGeom prst="rect"/>
                </pic:spPr>
              </pic:pic>
            </a:graphicData>
          </a:graphic>
        </wp:inline>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drawing>
        <wp:inline xmlns:a="http://schemas.openxmlformats.org/drawingml/2006/main" xmlns:pic="http://schemas.openxmlformats.org/drawingml/2006/picture">
          <wp:extent cx="1152000" cy="1078857"/>
          <wp:docPr id="1" name="Picture 1"/>
          <wp:cNvGraphicFramePr>
            <a:graphicFrameLocks noChangeAspect="1"/>
          </wp:cNvGraphicFramePr>
          <a:graphic>
            <a:graphicData uri="http://schemas.openxmlformats.org/drawingml/2006/picture">
              <pic:pic>
                <pic:nvPicPr>
                  <pic:cNvPr id="0" name="jman_logo_navy.png"/>
                  <pic:cNvPicPr/>
                </pic:nvPicPr>
                <pic:blipFill>
                  <a:blip r:embed="rId1"/>
                  <a:stretch>
                    <a:fillRect/>
                  </a:stretch>
                </pic:blipFill>
                <pic:spPr>
                  <a:xfrm>
                    <a:off x="0" y="0"/>
                    <a:ext cx="1152000" cy="107885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