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spacing w:after="160" w:line="276" w:lineRule="auto"/>
      </w:pPr>
      <w:r>
        <w:rPr>
          <w:rFonts w:ascii="Arial" w:hAnsi="Arial"/>
          <w:b w:val="0"/>
          <w:i w:val="0"/>
          <w:color w:val="1D1C1C"/>
          <w:sz w:val="20"/>
        </w:rPr>
        <w:t>Error: DefaultAzureCredential failed to retrieve a token from the included credentials.</w:t>
      </w:r>
    </w:p>
    <w:p>
      <w:pPr>
        <w:spacing w:after="160" w:line="276" w:lineRule="auto"/>
      </w:pPr>
      <w:r>
        <w:rPr>
          <w:rFonts w:ascii="Arial" w:hAnsi="Arial"/>
          <w:b w:val="0"/>
          <w:i w:val="0"/>
          <w:color w:val="1D1C1C"/>
          <w:sz w:val="20"/>
        </w:rPr>
        <w:t>Attempted credentials:</w:t>
      </w:r>
    </w:p>
    <w:p>
      <w:pPr>
        <w:spacing w:after="160" w:line="276" w:lineRule="auto"/>
      </w:pPr>
      <w:r>
        <w:rPr>
          <w:rFonts w:ascii="Arial" w:hAnsi="Arial"/>
          <w:b w:val="0"/>
          <w:i w:val="0"/>
          <w:color w:val="1D1C1C"/>
          <w:sz w:val="20"/>
        </w:rPr>
        <w:t>EnvironmentCredential: EnvironmentCredential authentication unavailable. Environment variables are not fully configured.</w:t>
      </w:r>
    </w:p>
    <w:p>
      <w:pPr>
        <w:spacing w:after="160" w:line="276" w:lineRule="auto"/>
      </w:pPr>
      <w:r>
        <w:rPr>
          <w:rFonts w:ascii="Arial" w:hAnsi="Arial"/>
          <w:b w:val="0"/>
          <w:i w:val="0"/>
          <w:color w:val="1D1C1C"/>
          <w:sz w:val="20"/>
        </w:rPr>
        <w:t>Visit https://aka.ms/azsdk/python/identity/environmentcredential/troubleshoot to troubleshoot this issue.</w:t>
      </w:r>
    </w:p>
    <w:p>
      <w:pPr>
        <w:spacing w:after="160" w:line="276" w:lineRule="auto"/>
      </w:pPr>
      <w:r>
        <w:rPr>
          <w:rFonts w:ascii="Arial" w:hAnsi="Arial"/>
          <w:b w:val="0"/>
          <w:i w:val="0"/>
          <w:color w:val="1D1C1C"/>
          <w:sz w:val="20"/>
        </w:rPr>
        <w:t>WorkloadIdentityCredential: WorkloadIdentityCredential authentication unavailable. The workload options are not fully configured. See the troubleshooting guide for more information: https://aka.ms/azsdk/python/identity/workloadidentitycredential/troubleshoot. Missing required arguments: 'tenant_id', 'client_id', 'token_file_path'.</w:t>
      </w:r>
    </w:p>
    <w:p>
      <w:pPr>
        <w:spacing w:after="160" w:line="276" w:lineRule="auto"/>
      </w:pPr>
      <w:r>
        <w:rPr>
          <w:rFonts w:ascii="Arial" w:hAnsi="Arial"/>
          <w:b w:val="0"/>
          <w:i w:val="0"/>
          <w:color w:val="1D1C1C"/>
          <w:sz w:val="20"/>
        </w:rPr>
        <w:t>ManagedIdentityCredential: ManagedIdentityCredential authentication unavailable, no response from the IMDS endpoint.</w:t>
      </w:r>
    </w:p>
    <w:p>
      <w:pPr>
        <w:spacing w:after="160" w:line="276" w:lineRule="auto"/>
      </w:pPr>
      <w:r>
        <w:rPr>
          <w:rFonts w:ascii="Arial" w:hAnsi="Arial"/>
          <w:b w:val="0"/>
          <w:i w:val="0"/>
          <w:color w:val="1D1C1C"/>
          <w:sz w:val="20"/>
        </w:rPr>
        <w:t>SharedTokenCacheCredential: SharedTokenCacheCredential authentication unavailable. No accounts were found in the cache.</w:t>
      </w:r>
    </w:p>
    <w:p>
      <w:pPr>
        <w:spacing w:after="160" w:line="276" w:lineRule="auto"/>
      </w:pPr>
      <w:r>
        <w:rPr>
          <w:rFonts w:ascii="Arial" w:hAnsi="Arial"/>
          <w:b w:val="0"/>
          <w:i w:val="0"/>
          <w:color w:val="1D1C1C"/>
          <w:sz w:val="20"/>
        </w:rPr>
        <w:t>VisualStudioCodeCredential: VisualStudioCodeCredential requires the 'azure-identity-broker' package to be installed. You must also ensure you have the Azure Resources extension installed and have signed in to Azure via Visual Studio Code.</w:t>
      </w:r>
    </w:p>
    <w:p>
      <w:pPr>
        <w:spacing w:after="160" w:line="276" w:lineRule="auto"/>
      </w:pPr>
      <w:r>
        <w:rPr>
          <w:rFonts w:ascii="Arial" w:hAnsi="Arial"/>
          <w:b w:val="0"/>
          <w:i w:val="0"/>
          <w:color w:val="1D1C1C"/>
          <w:sz w:val="20"/>
        </w:rPr>
        <w:t>AzureCliCredential: Failed to invoke the Azure CLI</w:t>
      </w:r>
    </w:p>
    <w:p>
      <w:pPr>
        <w:spacing w:after="160" w:line="276" w:lineRule="auto"/>
      </w:pPr>
      <w:r>
        <w:rPr>
          <w:rFonts w:ascii="Arial" w:hAnsi="Arial"/>
          <w:b w:val="0"/>
          <w:i w:val="0"/>
          <w:color w:val="1D1C1C"/>
          <w:sz w:val="20"/>
        </w:rPr>
        <w:t>AzurePowerShellCredential: Az.Account module &gt;= 2.2.0 is not installed</w:t>
      </w:r>
    </w:p>
    <w:p>
      <w:pPr>
        <w:spacing w:after="160" w:line="276" w:lineRule="auto"/>
      </w:pPr>
      <w:r>
        <w:rPr>
          <w:rFonts w:ascii="Arial" w:hAnsi="Arial"/>
          <w:b w:val="0"/>
          <w:i w:val="0"/>
          <w:color w:val="1D1C1C"/>
          <w:sz w:val="20"/>
        </w:rPr>
        <w:t>AzureDeveloperCliCredential: Azure Developer CLI could not be found. Please visit https://aka.ms/azure-dev for installation instructions and then,once installed, authenticate to your Azure account using 'azd auth login'.</w:t>
      </w:r>
    </w:p>
    <w:p>
      <w:pPr>
        <w:spacing w:after="160" w:line="276" w:lineRule="auto"/>
      </w:pPr>
      <w:r>
        <w:rPr>
          <w:rFonts w:ascii="Arial" w:hAnsi="Arial"/>
          <w:b w:val="0"/>
          <w:i w:val="0"/>
          <w:color w:val="1D1C1C"/>
          <w:sz w:val="20"/>
        </w:rPr>
        <w:t>BrokerCredential: InteractiveBrowserBrokerCredential unavailable. The 'azure-identity-broker' package is required to use brokered authentication.</w:t>
      </w:r>
    </w:p>
    <w:p>
      <w:pPr>
        <w:spacing w:after="160" w:line="276" w:lineRule="auto"/>
      </w:pPr>
      <w:r>
        <w:rPr>
          <w:rFonts w:ascii="Arial" w:hAnsi="Arial"/>
          <w:b w:val="0"/>
          <w:i w:val="0"/>
          <w:color w:val="1D1C1C"/>
          <w:sz w:val="20"/>
        </w:rPr>
        <w:t>To mitigate this issue, please refer to the troubleshooting guidelines here at https://aka.ms/azsdk/python/identity/defaultazurecredential/troubleshoot.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 operates in the financial advisory and wealth management industry, serving clients across the United States. The business runs on a B2C model, with core offerings focused on financial advisory services and asset management. Key business stakeholders include Jason Carver, the Client Engagement Manager, and Lee Equity Partners, who act as an investment partner.</w:t>
      </w:r>
    </w:p>
    <w:p>
      <w:pPr>
        <w:spacing w:after="80"/>
      </w:pPr>
    </w:p>
    <w:p>
      <w:pPr>
        <w:spacing w:after="160" w:line="276" w:lineRule="auto"/>
      </w:pPr>
      <w:r>
        <w:rPr>
          <w:rFonts w:ascii="Arial" w:hAnsi="Arial"/>
          <w:b w:val="0"/>
          <w:i w:val="0"/>
          <w:color w:val="1D1C1C"/>
          <w:sz w:val="20"/>
        </w:rPr>
        <w:t>Currently, the data, technology, and marketing teams at PURE are primarily involved in pipeline and customer acquisition reporting processes. The organization's technology infrastructure includes Salesforce, Tamarac, Azure Blob Storage, Microsoft Fabric, Azure Synapse, Power BI, and integration with QuickBooks is in progress. The existing reporting environment leverages a Power BI suite, with core data sources stemming from Salesforce, Tamarac, Azure Blob Storage, and QuickBooks. Microsoft Fabric and Azure Synapse serve as the foundational data platforms supporting these activities.</w:t>
      </w:r>
    </w:p>
    <w:p>
      <w:pPr>
        <w:spacing w:after="80"/>
      </w:pPr>
    </w:p>
    <w:p>
      <w:pPr>
        <w:spacing w:after="160" w:line="276" w:lineRule="auto"/>
      </w:pPr>
      <w:r>
        <w:rPr>
          <w:rFonts w:ascii="Arial" w:hAnsi="Arial"/>
          <w:b w:val="0"/>
          <w:i w:val="0"/>
          <w:color w:val="1D1C1C"/>
          <w:sz w:val="20"/>
        </w:rPr>
        <w:t>At present, the organization faces the requirement to connect QuickBooks for comprehensive data integration and to assess data quality for accurate customer acquisition cost reporting. No manual processes or data governance policies are detailed at this stage. The existing setup utilizes batch processing pipelines for data ingestion and reporting via the Fabric platform, with ongoing developments aimed at enhancing integration and overall data quality.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the necessary granularity to provide detailed insights into the full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reports do not offer integrated visibility into CAC, limiting the client’s ability to measure the effectiveness and ROI of marketing expenditures.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challenges exist, particularly with ingesting and connecting data from QuickBooks, which is required for accurate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need to automate data ingestion and transformation pipelines for L2A and CAC reporting to reduce manual work and improve reporting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building an enhanced L2A and CAC data model, expanding the Power BI reporting suite, ensuring successful data ingestion from QuickBooks, and establishing robust data quality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and technology stakeholders, senior leadership, and marketing teams are the primary users of the enhanced reporting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system integrations for this project include Salesforce and QuickBooks to ensure comprehensive data coverage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Constraints affecting the project include data access limitations, variable data quality, and dependencies on timely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timeline for the initiative is structured into Phase 3A (3 weeks) and Phase 3B (8–12 weeks), each with dependencies on data access and integration milestones.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that provides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the data ingestion, transformation, and reporting refresh processes to improve efficiency and reduce manual effort.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journey from lead to assets under management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improved Power BI dashboards featuring clear KPI definitions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support informed decision-making and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data and reporting capabilities that can accommodate future data sources, business requirements, and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future platform with Salesforce, QuickBooks, Tamarac, and Microsoft Fabric.</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conversion metrics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definitions, calculation logic, and rationale tailored to PURE’s financial advisory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Digital report (PDF/Excel) delivered at the conclusion of Phase 3A (week 3).</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a reference for ongoing KPI tracking and reporting enhancements.</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and prototype layouts for the enhanced Power BI reporting suite, limited to 8 key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sample visualizations, dashboard layouts, and KPI placement to cover L2A and CAC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.pbix files and annotated screenshots, delivered at the end of Phase 3A (week 3).</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Serves as the blueprint for stakeholder review and future dashboard development.</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entity-relationship diagrams and data flow documentation supporting both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logic for Salesforce, Tamarac, Azure Blob Storage, and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Diagram (Visio/PDF) and supporting technical documentation, delivered in Phase 3B (weeks 4–8).</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architecture for scalable and automated data pipelines.</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analysis of data gaps impacting L2A and CAC reporting accuracy and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recommendations for remediation, including QuickBooks data quality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Gap analysis report and actionable remediation checklist, delivered at the transition to Phase 3B (week 4).</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Ensures data integrity and readiness for reporting automation.</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solution architecture and technical implementation plan for integrating QuickBooks and automating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Specifies batch processing pipeline design within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specification document and process flowcharts, delivered in Phase 3B (weeks 4–8).</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Supports scalability and future-proofing for PURE’s evolving data needs.</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work breakdown structure for deliverable deployment, including dependencies and resource assignments.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mitigation strategies and milestone tracking aligned with PURE’s business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Project plan (Excel/MS Project) and summary presentation, delivered at the outset of Phase 3B (week 4).</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Guides project execution for full solution rollout.</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seeks to enhance its Lead-to-AUM (L2A) and Customer Acquisition Cost (CAC) reporting to provide greater insight into pipeline performance and marketing ROI. Our methodology centers on a collaborative, data-driven engagement, leveraging PURE's existing Microsoft Fabric and Azure Synapse data platforms, with a particular focus on integrating QuickBooks, Salesforce, and other primary data sources into a scalable Power BI reporting suite. By employing a phased approach that emphasizes detailed discovery, structured design, and seamless build, we ensure the solution is robust, actionable, and aligned with PURE’s strategic objectives.</w:t>
      </w:r>
    </w:p>
    <w:p>
      <w:pPr>
        <w:spacing w:after="80"/>
      </w:pPr>
    </w:p>
    <w:p>
      <w:pPr>
        <w:spacing w:after="160" w:line="276" w:lineRule="auto"/>
      </w:pPr>
      <w:r>
        <w:rPr>
          <w:rFonts w:ascii="Arial" w:hAnsi="Arial"/>
          <w:b w:val="0"/>
          <w:i w:val="0"/>
          <w:color w:val="1D1C1C"/>
          <w:sz w:val="20"/>
        </w:rPr>
        <w:t>Each phase of the project will drive incremental value through targeted discovery, solution architecture, technical validation, and implementation planning. We will use batch-based, automated data pipelines to support scalable reporting, and will work closely with stakeholders across data, technology, and marketing teams to ensure all KPIs, data models, and dashboards are relevant and actionable. The engagement is structured into two key phases, Phase 3A and Phase 3B, totaling 11–15 weeks, ensuring clear deliverables, accountability, and measurable progress as we design and build the enhanced reporting foundation.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Design, and Technical Validation,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defines requirements, validates technical feasibility, and sets the foundation for a scalable L2A and CAC reporting solution.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refine business objectives, reporting requirements, and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technical discovery of current systems and data sources (Salesforce, Tamarac, Azure Blob Storage,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KPI Book with detailed definitions and calculation logic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existing data model and gaps, focusing on ingestion and quality assessment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Power BI dashboard mock-ups (up to 8 views)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the Technical Approach document and Phase 3B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Data Model Build and Reporting Suite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operationalizes the design by building automated data pipelines, integrating key systems, and deploying a production-ready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test, and deploy automated batch data ingestion pipelines for QuickBooks, Salesforce, and other sources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validate, and document the enhanced L2A and CAC data model, ensuring conformance with defined KPIs and business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QA the Power BI reporting suite (up to 8 pages) with clear KPI visualizations and drill-through for user roles.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end-to-end data quality assessment and implement data transformation logic to ensure trusted analytics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with data, marketing, and leadership teams, capturing feedback for refinements.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knowledge transfer and documentation on technical solution, data flows, and dashboard usage.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taking this comprehensive and phased approach, PURE FINANCIAL ADVISORS LLC will gain a modern, integrated platform for pipeline and CAC reporting. This methodology ensures business alignment, technical quality, and stakeholder adoption, while supporting future scalability as new data sources and reporting needs emerge. Our focus on collaboration, automation, and actionable insight will enable PURE to drive data maturity, optimize marketing spend, and accelerate growth through informed decision-making.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equip PURE FINANCIAL ADVISORS LLC with actionable, automated insights into every stage of its client acquisition pipeline, empowering leadership to make data-driven decisions on marketing effectiveness and operational growth. By delivering enhanced Lead-to-AUM (L2A) and Customer Acquisition Cost (CAC) reporting, PURE will gain precise visibility into conversion metrics and marketing ROI. Success will be measured by the accuracy, integration, and automation of reporting, as well as improved granularity in pipeline performance analysis.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Pipeline Insights:</w:t>
      </w:r>
      <w:r>
        <w:rPr>
          <w:rFonts w:ascii="Arial" w:hAnsi="Arial"/>
          <w:b w:val="0"/>
          <w:i w:val="0"/>
          <w:color w:val="1D1C1C"/>
          <w:sz w:val="20"/>
        </w:rPr>
        <w:t xml:space="preserve"> Leadership and stakeholders will have access to granular Lead-to-AUM metrics, enabling focused improvement across critical touchpoints of the client acquisition journey.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Enhanced CAC reporting will illuminate the return on marketing spend, supporting smarter allocation of resources for acquisition campaigns and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Processes:</w:t>
      </w:r>
      <w:r>
        <w:rPr>
          <w:rFonts w:ascii="Arial" w:hAnsi="Arial"/>
          <w:b w:val="0"/>
          <w:i w:val="0"/>
          <w:color w:val="1D1C1C"/>
          <w:sz w:val="20"/>
        </w:rPr>
        <w:t xml:space="preserve"> The ingestion, transformation, and refresh of data will be fully automated, reducing manual intervention and increasing efficiency for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Data Ecosystem:</w:t>
      </w:r>
      <w:r>
        <w:rPr>
          <w:rFonts w:ascii="Arial" w:hAnsi="Arial"/>
          <w:b w:val="0"/>
          <w:i w:val="0"/>
          <w:color w:val="1D1C1C"/>
          <w:sz w:val="20"/>
        </w:rPr>
        <w:t xml:space="preserve"> Seamless integration of Salesforce, QuickBooks, Tamarac, and Azure Fabric ensures that all relevant data supports unified and accurate reporting, minimizing gaps and maximizing reliability.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Framework:</w:t>
      </w:r>
      <w:r>
        <w:rPr>
          <w:rFonts w:ascii="Arial" w:hAnsi="Arial"/>
          <w:b w:val="0"/>
          <w:i w:val="0"/>
          <w:color w:val="1D1C1C"/>
          <w:sz w:val="20"/>
        </w:rPr>
        <w:t xml:space="preserve"> The solution lays the groundwork for future integration of additional data sources and expanded reporting needs, strengthening PURE’s data maturity and supporting its long-term growth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KPI Visualization:</w:t>
      </w:r>
      <w:r>
        <w:rPr>
          <w:rFonts w:ascii="Arial" w:hAnsi="Arial"/>
          <w:b w:val="0"/>
          <w:i w:val="0"/>
          <w:color w:val="1D1C1C"/>
          <w:sz w:val="20"/>
        </w:rPr>
        <w:t xml:space="preserve"> Improved Power BI dashboards will provide intuitive visibility into conversion rates and CAC metrics, enabling senior leadership and marketing teams to drive strategic decisions with confidence.</w:t>
      </w:r>
    </w:p>
    <w:p>
      <w:pPr>
        <w:spacing w:after="80"/>
      </w:pPr>
    </w:p>
    <w:p>
      <w:pPr>
        <w:spacing w:after="160" w:line="276" w:lineRule="auto"/>
      </w:pPr>
      <w:r>
        <w:rPr>
          <w:rFonts w:ascii="Arial" w:hAnsi="Arial"/>
          <w:b w:val="0"/>
          <w:i w:val="0"/>
          <w:color w:val="1D1C1C"/>
          <w:sz w:val="20"/>
        </w:rPr>
        <w:t>These outcomes directly address PURE’s current pain points—limited reporting granularity and fragmented CAC insights—and define clear success metrics, such as automated and accurate L2A and CAC reporting, as well as measurable improvement in marketing and pipeline visibility.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Financial Transparency:</w:t>
      </w:r>
      <w:r>
        <w:rPr>
          <w:rFonts w:ascii="Arial" w:hAnsi="Arial"/>
          <w:b w:val="0"/>
          <w:i w:val="0"/>
          <w:color w:val="1D1C1C"/>
          <w:sz w:val="20"/>
        </w:rPr>
        <w:t xml:space="preserve"> The enhanced Lead-to-AUM (L2A) and Customer Acquisition Cost (CAC) reporting suite will provide PURE FINANCIAL ADVISORS LLC with a clear, automated view of conversion funnels and marketing spend, enabling precise evaluation of return on investment (ROI) for each channel and campaign.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Automating data ingestion and transformation processes—including integration with QuickBooks and Salesforce—will significantly reduce manual reporting tasks and data preparation efforts across marketing and data teams, streamlining workflows and improving reporting accuracy.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Spend:</w:t>
      </w:r>
      <w:r>
        <w:rPr>
          <w:rFonts w:ascii="Arial" w:hAnsi="Arial"/>
          <w:b w:val="0"/>
          <w:i w:val="0"/>
          <w:color w:val="1D1C1C"/>
          <w:sz w:val="20"/>
        </w:rPr>
        <w:t xml:space="preserve"> With granular insights into each stage of the client journey and detailed CAC tracking, leadership will be able to reallocate marketing resources toward high-performing initiatives, maximizing asset growth while minimizing wasted spend and inefficient programs.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w:t>
      </w:r>
      <w:r>
        <w:rPr>
          <w:rFonts w:ascii="Arial" w:hAnsi="Arial"/>
          <w:b w:val="0"/>
          <w:i w:val="0"/>
          <w:color w:val="1D1C1C"/>
          <w:sz w:val="20"/>
        </w:rPr>
        <w:t xml:space="preserve"> The scalable data model and robust Power BI dashboards will equip senior leadership with actionable metrics and predictive insights, supporting faster, evidence-based decisions that align with PURE's long-term growth objectives and evolving market conditions.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Growth:</w:t>
      </w:r>
      <w:r>
        <w:rPr>
          <w:rFonts w:ascii="Arial" w:hAnsi="Arial"/>
          <w:b w:val="0"/>
          <w:i w:val="0"/>
          <w:color w:val="1D1C1C"/>
          <w:sz w:val="20"/>
        </w:rPr>
        <w:t xml:space="preserve"> The modular, extensible architecture ensures that PURE’s reporting platform can easily onboard new data sources and adapt to increased data volume, supporting future business needs and seamless scaling as the firm expands its client base and services.</w:t>
      </w:r>
    </w:p>
    <w:p>
      <w:pPr>
        <w:spacing w:after="80"/>
      </w:pPr>
    </w:p>
    <w:p>
      <w:pPr>
        <w:spacing w:after="160" w:line="276" w:lineRule="auto"/>
      </w:pPr>
      <w:r>
        <w:rPr>
          <w:rFonts w:ascii="Arial" w:hAnsi="Arial"/>
          <w:b w:val="0"/>
          <w:i w:val="0"/>
          <w:color w:val="1D1C1C"/>
          <w:sz w:val="20"/>
        </w:rPr>
        <w:t>By delivering accurate, automated, and integrated L2A and CAC reporting, this initiative will empower PURE FINANCIAL ADVISORS LLC to achieve higher financial performance, operational excellence, and strategic agility. The investment in advanced analytics and data automation not only drives immediate ROI and cost efficiencies but also builds a competitive edge through informed leadership and readiness for future growth.</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