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Introduction to JMAN</w:t>
      </w:r>
    </w:p>
    <w:p>
      <w:pPr>
        <w:spacing w:after="80"/>
      </w:pPr>
    </w:p>
    <w:p>
      <w:pPr>
        <w:spacing w:after="160" w:line="276" w:lineRule="auto"/>
      </w:pPr>
      <w:r>
        <w:rPr>
          <w:rFonts w:ascii="Arial" w:hAnsi="Arial"/>
          <w:b w:val="0"/>
          <w:i w:val="0"/>
          <w:color w:val="1D1C1C"/>
          <w:sz w:val="20"/>
        </w:rPr>
        <w:t>JMAN is a Data &amp; Analytics Consultancy with 325 employees across London, Chennai, and New York. Our international team is a unique blend of consulting, data science and technology expertise. We specialise in working with private equity firms, and their portfolio companies across the investment lifecycle from diligence to exit. Over the last year, we have worked on 375+ projects with 100 portfolio companies across 51 funds. The experience we have on both sides of the deal in Diligence and at Exit, with some of the most sophisticated data adopters in private equity, gives us a good understanding of how businesses are evaluated, and what bidders are looking for from data.</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VONQ operates as a mid-market recruitment software-as-a-service (SaaS) provider, delivering a comprehensive recruitment technology platform to business clients. With a focus on B2B SaaS, VONQ’s primary stakeholders for this initiative include the Client Engagement Manager, Paul Goodstadt (Service Provider Engagement Manager), and advisory representation from Barclays.</w:t>
      </w:r>
    </w:p>
    <w:p>
      <w:pPr>
        <w:spacing w:after="80"/>
      </w:pPr>
    </w:p>
    <w:p>
      <w:pPr>
        <w:spacing w:after="160" w:line="276" w:lineRule="auto"/>
      </w:pPr>
      <w:r>
        <w:rPr>
          <w:rFonts w:ascii="Arial" w:hAnsi="Arial"/>
          <w:b w:val="0"/>
          <w:i w:val="0"/>
          <w:color w:val="1D1C1C"/>
          <w:sz w:val="20"/>
        </w:rPr>
        <w:t>VONQ is currently preparing for an imminent exit and sale process and requires the rapid design of a scalable, investor-ready exit reporting suite. The absence of consolidated, credible reporting across its Finance, CRM, and ERP systems—despite existing Qlik Warehouse capabilities—poses significant challenges. Existing gaps in data completeness and KPI coverage undermine the company’s ability to articulate a data-driven equity narrative that meets investor and advisor expectations.</w:t>
      </w:r>
    </w:p>
    <w:p>
      <w:pPr>
        <w:spacing w:after="80"/>
      </w:pPr>
    </w:p>
    <w:p>
      <w:pPr>
        <w:spacing w:after="160" w:line="276" w:lineRule="auto"/>
      </w:pPr>
      <w:r>
        <w:rPr>
          <w:rFonts w:ascii="Arial" w:hAnsi="Arial"/>
          <w:b w:val="0"/>
          <w:i w:val="0"/>
          <w:color w:val="1D1C1C"/>
          <w:sz w:val="20"/>
        </w:rPr>
        <w:t>The strategic imperative for this project is clear: VONQ must establish a robust, refreshable data infrastructure and suite of dashboards to support due diligence, underpin the sale transaction, and instill confidence with both current stakeholders and potential acquirers. Successful execution of this Discovery &amp; Design phase is critical to de-risking the exit timeline, ensuring effective communications, and creating long-term, automatable business assets that will support ongoing strategic decision-making and scalability post-transaction.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VONQ’s current operations relevant to the exit preparation involve multiple internal teams, notably finance, commercial/CRM, data/analytics, and senior leadership. These teams are actively engaged in supporting investor reporting and transaction readiness. The core systems in use include the Finance System, CRM, ERP, and the Qlik Warehouse, which serves as the primary data and reporting platform.</w:t>
      </w:r>
    </w:p>
    <w:p>
      <w:pPr>
        <w:spacing w:after="80"/>
      </w:pPr>
    </w:p>
    <w:p>
      <w:pPr>
        <w:spacing w:after="160" w:line="276" w:lineRule="auto"/>
      </w:pPr>
      <w:r>
        <w:rPr>
          <w:rFonts w:ascii="Arial" w:hAnsi="Arial"/>
          <w:b w:val="0"/>
          <w:i w:val="0"/>
          <w:color w:val="1D1C1C"/>
          <w:sz w:val="20"/>
        </w:rPr>
        <w:t>For analytics and reporting, VONQ relies on Qlik-based dashboards and reporting utilities, utilizing the Qlik Warehouse as the central repository for business data. The main data sources feeding these platforms consist of the Finance System, CRM, ERP, and legacy datasets that may be included to ensure a minimum of three years’ trended data. Excel-based datasets and external systems are also acknowledged, with their inclusion subject to feasibility and agreement.</w:t>
      </w:r>
    </w:p>
    <w:p>
      <w:pPr>
        <w:spacing w:after="80"/>
      </w:pPr>
    </w:p>
    <w:p>
      <w:pPr>
        <w:spacing w:after="160" w:line="276" w:lineRule="auto"/>
      </w:pPr>
      <w:r>
        <w:rPr>
          <w:rFonts w:ascii="Arial" w:hAnsi="Arial"/>
          <w:b w:val="0"/>
          <w:i w:val="0"/>
          <w:color w:val="1D1C1C"/>
          <w:sz w:val="20"/>
        </w:rPr>
        <w:t>At present, some source systems lack automated integration with the Qlik Warehouse, necessitating manual, one-off data ingestion. Where ongoing data refreshes are required throughout the sale process, a batch-based refresh process will be established. The Qlik Warehouse provides the foundational cloud infrastructure for all reporting activities. Additional recurring integrations and refresh procedures are anticipated for systems needing regular updates during the transaction phase.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VONQ is seeking to design and build a scalable exit reporting suite to support its upcoming M&amp;A sale process and provide investor-ready communications.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is currently a lack of investor-ready reporting, resulting in potential data gaps across source systems and insufficient support for all required KPIs to underpin the equity narrative.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existing Qlik Warehouse may not fully capture or report on all critical metrics necessary for credible transaction reporting and investor scrutiny.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 is required between the Finance System, CRM, ERP, and the Qlik Warehouse, with legacy data sources also in scope for at least three years of trended data.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Some source systems lack automated connections to the Qlik Warehouse, necessitating manual, one-off data ingestions; recurring data refresh processes must be established for sources needing updates during the transaction.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Required capabilities include equity narrative definition, a prioritized KPI framework, dashboard mock-ups, a data feasibility assessment, conceptual data model design, tooling recommendations, and a phased implementation roadmap.</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Automation is needed for data ingestion and refresh pipelines from all relevant source systems into the Qlik Warehouse to enable timely and accurate transaction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Key user roles include senior leadership, exit advisors (Barclays), and potential acquirers/investors.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comprehensive exit reporting suite featuring clearly defined equity narratives and a prioritised KPI framework.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and recurring refresh processes from all relevant source systems to ensure timely, transaction-ready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intuitive dashboards that provide investor-grade visibility into key business metrics supporting the company’s equity narrative.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Standardise KPI definitions, calculation logic, and navigation structure to enhance user experience and consistency in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data infrastructure readiness and reporting processes to meet the scrutiny required for the exit and investor communications.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the proposed data model and reporting solution are scalable, supporting integration with Finance, CRM, ERP, and Qlik Warehouse as a foundation for future extensibility and automation.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VONQ,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Equity Narratives Definition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 articulation of equity narratives tailored to support VONQ’s M&amp;A transaction and investor communications.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key value drivers and themes to underpin the exit story.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Summary format suitable for presentation to stakeholders and advisors.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Week 1 following project kickoff workshops.</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Metrics that Matter KPI Framework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Prioritised list of commercial, financial, and operational KPIs aligned to approved equity narratives.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KPI definitions, including calculation logic and data source mapping.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Tabular framework format with supporting explanatory notes.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Week 2 with interim review and refinement in Week 3.</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Dashboard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Static visual wireframes illustrating the proposed dashboard layouts, navigation, and key views.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Inclusion of KPI visualisations and representative data to demonstrate investor-ready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as PDF and PowerPoint slides to facilitate discussion and feedback.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Week 3, iterated based on feedback in subsequent sessions.</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Feasibility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Analysis of current-state data availability and identification of any data gaps or issues impacting Phase 2 build.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Summary of findings from legacy and current data sources, including trended data coverage for a minimum of three years.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remediation prioritised by impact on KPI delivery.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Week 2, reviewed jointly as part of the project working sessions.</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Conceptual 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High-level data model that maps core entities, relationships, and source integrations using the Qlik Warehouse as a foundation.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 diagrams and supporting technical documentation explaining data flows and transformation logic.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Designed for scalability and future extensibility to additional data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Week 3, accompanied by a walkthrough to technical leads.</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Data Infrastructure and Tooling Recommendations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Comparative assessment of data tooling options, with pros, cons, and trade-offs for Qlik and any alternative platforms.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data pipeline automation, analytics, and dashboarding across core and feasible systems.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Decision summary and rationale document, with actionable next steps for Phase 2.</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Week 4 as part of the final engagement pack.</w:t>
      </w:r>
    </w:p>
    <w:p>
      <w:pPr>
        <w:spacing w:after="80"/>
      </w:pPr>
    </w:p>
    <w:p>
      <w:pPr>
        <w:spacing w:after="160" w:line="276" w:lineRule="auto"/>
      </w:pPr>
      <w:r>
        <w:rPr>
          <w:rFonts w:ascii="Arial" w:hAnsi="Arial"/>
          <w:b w:val="0"/>
          <w:i w:val="0"/>
          <w:color w:val="1D1C1C"/>
          <w:sz w:val="20"/>
        </w:rPr>
        <w:t xml:space="preserve">7. </w:t>
      </w:r>
      <w:r>
        <w:rPr>
          <w:rFonts w:ascii="Arial" w:hAnsi="Arial"/>
          <w:b/>
          <w:i w:val="0"/>
          <w:color w:val="1D1C1C"/>
          <w:sz w:val="20"/>
        </w:rPr>
        <w:t>Implementation Roadmap for Phase 2</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Phased, actionable plan outlining key milestones, dependencies, risks, and required resources for the Phase 2 build.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of priority use cases and workstreams for technical implementation.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as a timeline (Gantt chart) and supporting narrative for leadership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Week 4, ready for handover to VONQ and Barclays advisors.</w:t>
      </w:r>
    </w:p>
    <w:p>
      <w:pPr>
        <w:spacing w:after="80"/>
      </w:pPr>
    </w:p>
    <w:p>
      <w:pPr>
        <w:spacing w:after="160" w:line="276" w:lineRule="auto"/>
      </w:pPr>
      <w:r>
        <w:rPr>
          <w:rFonts w:ascii="Arial" w:hAnsi="Arial"/>
          <w:b w:val="0"/>
          <w:i w:val="0"/>
          <w:color w:val="1D1C1C"/>
          <w:sz w:val="20"/>
        </w:rPr>
        <w:t>Each deliverable will be iteratively reviewed with VONQ's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This engagement with VONQ is focused on delivering a robust, design-led foundation for an exit reporting suite that fully supports the organisation’s near-term sale process. Our methodology emphasises rapid alignment with key stakeholders, data-driven validation of reporting requirements, and the systematic design of artefacts—providing a clear blueprint for the subsequent technical build. By combining industry best practices in data strategy with pragmatic stakeholder engagement, the approach ensures that VONQ’s reporting suite is scalable, actionable, and specifically tailored for investor-grade communications.</w:t>
      </w:r>
    </w:p>
    <w:p>
      <w:pPr>
        <w:spacing w:after="80"/>
      </w:pPr>
    </w:p>
    <w:p>
      <w:pPr>
        <w:spacing w:after="160" w:line="276" w:lineRule="auto"/>
      </w:pPr>
      <w:r>
        <w:rPr>
          <w:rFonts w:ascii="Arial" w:hAnsi="Arial"/>
          <w:b w:val="0"/>
          <w:i w:val="0"/>
          <w:color w:val="1D1C1C"/>
          <w:sz w:val="20"/>
        </w:rPr>
        <w:t>The process is structured into a single Discovery &amp; Design phase, lasting four weeks. This phase includes workshops, data assessment, conceptual modelling, and iterative playback sessions to confirm findings and design artefacts. All activities are sequenced to ensure smooth information flow, mitigate project risks, and enable well-informed decisions in preparation for Phase 2 implementation. Deliverables from this phase will be production-ready design artefacts, ensuring stakeholder buy-in and readiness for a seamless handover into execution.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1: Discovery &amp; Design, Duration: 4 weeks, Timeline: Week 1 (29 June 2026) to Week 4 (24 July 2026)</w:t>
      </w:r>
    </w:p>
    <w:p>
      <w:pPr>
        <w:spacing w:after="160" w:line="276" w:lineRule="auto"/>
      </w:pPr>
      <w:r>
        <w:rPr>
          <w:rFonts w:ascii="Arial" w:hAnsi="Arial"/>
          <w:b/>
          <w:i w:val="0"/>
          <w:color w:val="1D1C1C"/>
          <w:sz w:val="20"/>
        </w:rPr>
        <w:t>Summary:</w:t>
      </w:r>
      <w:r>
        <w:rPr>
          <w:rFonts w:ascii="Arial" w:hAnsi="Arial"/>
          <w:b w:val="0"/>
          <w:i w:val="0"/>
          <w:color w:val="1D1C1C"/>
          <w:sz w:val="20"/>
        </w:rPr>
        <w:t xml:space="preserve"> Define exit reporting requirements, design the reporting suite, and provide prioritised recommendations and a detailed implementation roadmap.</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project kick-off, data access validation, and alignment meeting with VONQ and stakeholder representatives.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Facilitate stakeholder workshops to define the equity narrative, key value drivers, and prioritised KPI framework for investor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current- and future-state data flows; perform a data feasibility assessment across the Finance, CRM, ERP systems, and the Qlik Warehouse.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and socialise static dashboard mock-ups, showing proposed metrics, layout, and navigation structure, and refine based on feedback.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a conceptual data model, including KPI calculation logic and recommendations for scalable tooling and infrastructure enhancements.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Produce a comprehensive implementation roadmap for Phase 2, detailing priority use cases, delivery dependencies, identified data gaps, and actionable remediation steps.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In summary, this phased approach enables VONQ to thoroughly define its reporting vision, validate technical feasibility, and document the critical design artefacts required for a sale-ready, investor-grade reporting suite—all within a rapid four-week window. The deliverables ensure transparency, alignment, and a clear path to Phase 2 execution, providing lasting value to VONQ’s exit process.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The engagement with VONQ is designed to deliver a measurable transformation in exit reporting, equipping the company with investor-grade insights and a scalable reporting suite to underpin the upcoming transaction. By standardising KPIs and aligning dashboards to equity narratives, VONQ will enhance stakeholder communications, accelerate the exit process, and improve data readiness to support long-term business scalability.</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Investor-Ready Reporting Suite:</w:t>
      </w:r>
      <w:r>
        <w:rPr>
          <w:rFonts w:ascii="Arial" w:hAnsi="Arial"/>
          <w:b w:val="0"/>
          <w:i w:val="0"/>
          <w:color w:val="1D1C1C"/>
          <w:sz w:val="20"/>
        </w:rPr>
        <w:t xml:space="preserve"> A validated exit reporting design—featuring equity narrative-aligned dashboards and KPIs—that meets the requirements of acquirers, advisors, and internal leadership for transaction due diligence and investor presentations.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Accelerated Exit Timeline:</w:t>
      </w:r>
      <w:r>
        <w:rPr>
          <w:rFonts w:ascii="Arial" w:hAnsi="Arial"/>
          <w:b w:val="0"/>
          <w:i w:val="0"/>
          <w:color w:val="1D1C1C"/>
          <w:sz w:val="20"/>
        </w:rPr>
        <w:t xml:space="preserve"> Reduction in reporting-related delays through streamlined data ingestion and automated refresh processes, allowing VONQ to meet critical exit milestones and respond efficiently to investor queries.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KPI Framework Standardisation:</w:t>
      </w:r>
      <w:r>
        <w:rPr>
          <w:rFonts w:ascii="Arial" w:hAnsi="Arial"/>
          <w:b w:val="0"/>
          <w:i w:val="0"/>
          <w:color w:val="1D1C1C"/>
          <w:sz w:val="20"/>
        </w:rPr>
        <w:t xml:space="preserve"> Consistent definitions, calculation logic, and prioritised metrics provide clarity for stakeholders, supporting credible storytelling and mitigating risks associated with data gaps or inconsistent reporting.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Transparency on Data Gaps &amp; Remediation Priorities:</w:t>
      </w:r>
      <w:r>
        <w:rPr>
          <w:rFonts w:ascii="Arial" w:hAnsi="Arial"/>
          <w:b w:val="0"/>
          <w:i w:val="0"/>
          <w:color w:val="1D1C1C"/>
          <w:sz w:val="20"/>
        </w:rPr>
        <w:t xml:space="preserve"> Clear identification and documentation of existing data limitations, enabling targeted remediation and proactive risk management throughout the exit preparation phase.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Stakeholder Decision-Making:</w:t>
      </w:r>
      <w:r>
        <w:rPr>
          <w:rFonts w:ascii="Arial" w:hAnsi="Arial"/>
          <w:b w:val="0"/>
          <w:i w:val="0"/>
          <w:color w:val="1D1C1C"/>
          <w:sz w:val="20"/>
        </w:rPr>
        <w:t xml:space="preserve"> Leadership, advisors, and potential buyers gain improved visibility into commercial, financial, and operational performance, supporting informed investment decisions and reinforcing VONQ's equity narrative.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Data Infrastructure:</w:t>
      </w:r>
      <w:r>
        <w:rPr>
          <w:rFonts w:ascii="Arial" w:hAnsi="Arial"/>
          <w:b w:val="0"/>
          <w:i w:val="0"/>
          <w:color w:val="1D1C1C"/>
          <w:sz w:val="20"/>
        </w:rPr>
        <w:t xml:space="preserve"> Conceptual data model and tooling recommendations enable future extensibility, ensuring that reporting assets deliver ongoing value and remain automatable post-transaction [Client Questionnaire].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9</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Accelerated Exit Readiness:</w:t>
      </w:r>
      <w:r>
        <w:rPr>
          <w:rFonts w:ascii="Arial" w:hAnsi="Arial"/>
          <w:b w:val="0"/>
          <w:i w:val="0"/>
          <w:color w:val="1D1C1C"/>
          <w:sz w:val="20"/>
        </w:rPr>
        <w:t xml:space="preserve"> Delivery of a validated, investor-grade reporting suite ensures VONQ is fully prepared to commence the M&amp;A sale process on schedule, minimizing risks of timeline delays and potential value erosion due to reporting deficiencies.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Standardized KPI Framework:</w:t>
      </w:r>
      <w:r>
        <w:rPr>
          <w:rFonts w:ascii="Arial" w:hAnsi="Arial"/>
          <w:b w:val="0"/>
          <w:i w:val="0"/>
          <w:color w:val="1D1C1C"/>
          <w:sz w:val="20"/>
        </w:rPr>
        <w:t xml:space="preserve"> Creation of a prioritized KPI framework aligned to equity narratives enables consistent measurement and reporting of commercial, financial, and operational performance, increasing confidence among investors and stakeholders while reducing ambiguity in key metrics.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Data Integration:</w:t>
      </w:r>
      <w:r>
        <w:rPr>
          <w:rFonts w:ascii="Arial" w:hAnsi="Arial"/>
          <w:b w:val="0"/>
          <w:i w:val="0"/>
          <w:color w:val="1D1C1C"/>
          <w:sz w:val="20"/>
        </w:rPr>
        <w:t xml:space="preserve"> Design of refreshable data pipelines from critical systems (Finance, CRM, ERP) into the Qlik Warehouse reduces manual data handling and enables faster, recurring updates during the transaction process, improving data timeliness and lowering the risk of errors during the sale.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Long-Term Value:</w:t>
      </w:r>
      <w:r>
        <w:rPr>
          <w:rFonts w:ascii="Arial" w:hAnsi="Arial"/>
          <w:b w:val="0"/>
          <w:i w:val="0"/>
          <w:color w:val="1D1C1C"/>
          <w:sz w:val="20"/>
        </w:rPr>
        <w:t xml:space="preserve"> The conceptual data model and robust design artefacts produced in Phase 1 not only support the upcoming transaction but also establish a repeatable and scalable data infrastructure, positioning VONQ for future growth and facilitating ongoing analytics automation post-transaction.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Stakeholder Communication:</w:t>
      </w:r>
      <w:r>
        <w:rPr>
          <w:rFonts w:ascii="Arial" w:hAnsi="Arial"/>
          <w:b w:val="0"/>
          <w:i w:val="0"/>
          <w:color w:val="1D1C1C"/>
          <w:sz w:val="20"/>
        </w:rPr>
        <w:t xml:space="preserve"> Investor-grade dashboards and clearly defined equity metrics enhance transparency for senior leadership, advisors, and potential acquirers, strengthening stakeholder trust and improving the credibility of VONQ's equity narrative throughout the exit process.</w:t>
      </w:r>
    </w:p>
    <w:p>
      <w:pPr>
        <w:spacing w:after="80"/>
      </w:pPr>
    </w:p>
    <w:p>
      <w:pPr>
        <w:spacing w:after="160" w:line="276" w:lineRule="auto"/>
      </w:pPr>
      <w:r>
        <w:rPr>
          <w:rFonts w:ascii="Arial" w:hAnsi="Arial"/>
          <w:b w:val="0"/>
          <w:i w:val="0"/>
          <w:color w:val="1D1C1C"/>
          <w:sz w:val="20"/>
        </w:rPr>
        <w:t>By implementing a scalable, automated reporting foundation with clear KPI standardization and equity narrative alignment, VONQ will unlock short-term transaction value and lay the groundwork for sustainable long-term business intelligence. This initiative mitigates exit-related risks, accelerates readiness, and positions VONQ as a credible, data-driven SaaS leader in the eyes of acquirers and stakeholders.</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