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B2B recruitment SaaS provider, offering a recruitment software-as-a-service platform tailored for enterprise and commercial clients. With a focus on technology-driven solutions for talent acquisition, VONQ leverages an integrated suite of tools to support the hiring needs of its customers. Key stakeholders engaged in this initiative include the Client Engagement Manager (to be confirmed), Paul Goodstadt as Service Provider Engagement Manager, and Barclays as the client’s advisors.</w:t>
      </w:r>
    </w:p>
    <w:p>
      <w:pPr>
        <w:spacing w:after="80"/>
      </w:pPr>
    </w:p>
    <w:p>
      <w:pPr>
        <w:spacing w:after="160" w:line="276" w:lineRule="auto"/>
      </w:pPr>
      <w:r>
        <w:rPr>
          <w:rFonts w:ascii="Arial" w:hAnsi="Arial"/>
          <w:b w:val="0"/>
          <w:i w:val="0"/>
          <w:color w:val="1D1C1C"/>
          <w:sz w:val="20"/>
        </w:rPr>
        <w:t>The immediate business priority for VONQ is preparation for a near-term exit or sale. To facilitate this process, VONQ requires a scalable and investor-ready exit reporting suite comprised of a refreshable data cube, dashboards, and supporting documentation. The objective is to enable finance, commercial/CRM, data/analytics, and senior leadership teams to produce transparent, audit-ready reports that effectively communicate the company's equity narrative to potential acquirers and investors. Existing systems, including the Qlik Warehouse, Finance System, CRM, and ERP, form the data backbone, but gaps remain—such as data sources not fully automated, potential KPI misalignment, and limited investor-grade reporting.</w:t>
      </w:r>
    </w:p>
    <w:p>
      <w:pPr>
        <w:spacing w:after="80"/>
      </w:pPr>
    </w:p>
    <w:p>
      <w:pPr>
        <w:spacing w:after="160" w:line="276" w:lineRule="auto"/>
      </w:pPr>
      <w:r>
        <w:rPr>
          <w:rFonts w:ascii="Arial" w:hAnsi="Arial"/>
          <w:b w:val="0"/>
          <w:i w:val="0"/>
          <w:color w:val="1D1C1C"/>
          <w:sz w:val="20"/>
        </w:rPr>
        <w:t>Strategically, this initiative is critical to underpinning stakeholder communications throughout the M&amp;A process. A fully designed, scalable reporting solution will not only support VONQ in articulating its business value during the transaction but also lay the groundwork for post-transaction automation and future scalability. Deliverables from Phase 1, including a well-defined KPI framework, dashboard mock-ups, and a conceptual data model, are essential for risk mitigation, timeline adherence, and achieving investor confidence during the exit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 exit preparation involve multiple teams, including finance, commercial/CRM, data/analytics, and senior leadership. These groups are engaged in activities related to the consolidation and reporting of key business data to support ongoing investor and transaction needs.</w:t>
      </w:r>
    </w:p>
    <w:p>
      <w:pPr>
        <w:spacing w:after="80"/>
      </w:pPr>
    </w:p>
    <w:p>
      <w:pPr>
        <w:spacing w:after="160" w:line="276" w:lineRule="auto"/>
      </w:pPr>
      <w:r>
        <w:rPr>
          <w:rFonts w:ascii="Arial" w:hAnsi="Arial"/>
          <w:b w:val="0"/>
          <w:i w:val="0"/>
          <w:color w:val="1D1C1C"/>
          <w:sz w:val="20"/>
        </w:rPr>
        <w:t>The technology landscape is anchored by the Qlik Warehouse, which serves as the primary data and reporting platform. Key business systems in use include the Finance System, CRM, and ERP, all of which provide source data for reporting and analytics. Qlik-based reporting tools, built on the existing Qlik Warehouse, are used for current analytics and dashboard requirements, drawing from the Finance System, CRM, ERP, and additional Excel-based datasets where necessary. Legacy sources may also be accessed to provide at least three years of trended data for comprehensive analysis.</w:t>
      </w:r>
    </w:p>
    <w:p>
      <w:pPr>
        <w:spacing w:after="80"/>
      </w:pPr>
    </w:p>
    <w:p>
      <w:pPr>
        <w:spacing w:after="160" w:line="276" w:lineRule="auto"/>
      </w:pPr>
      <w:r>
        <w:rPr>
          <w:rFonts w:ascii="Arial" w:hAnsi="Arial"/>
          <w:b w:val="0"/>
          <w:i w:val="0"/>
          <w:color w:val="1D1C1C"/>
          <w:sz w:val="20"/>
        </w:rPr>
        <w:t>Integration between these systems is not fully automated; some sources require manual, one-off ingestion into the Qlik Warehouse. For data needing ongoing updates during transaction activities, a refresh process is established to accommodate recurring data loads. The cloud/platform infrastructure predominantly relies on the Qlik Warehouse as the centralized data repository, with potential consideration for incorporating additional external systems where warranted and subject to mutual agreement.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faces a critical need to design and build a scalable exit reporting suite—including a refreshable data cube, dashboards, and supporting documentation—to support the M&amp;A sale process and facilitate effective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primary pain point is the lack of investor-ready reporting, resulting in insufficient visibility for acquirers and advisors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potential data gaps across source systems, with the existing Qlik Warehouse not fully supporting all required KPIs necessary for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is required between the Finance System, CRM, ERP, and Qlik Warehouse; legacy data sources must also be included to provide at least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source systems do not have automated connections to the Qlik Warehouse, requiring manual one-off ingestion and the establishment of recurring refresh processes for those data sources needing regular update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solution must enable equity narrative definition, a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Senior leadership, exit advisors (Barclays), and potential acquirers/investors are the primary user roles requiring access to and use of the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Timely availability and readiness of data, as well as alignment of dashboards and metrics to investor expectations, are essential due to the tight exit timeline and stakeholder dependencies.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that provides credible, investor-grade visibility into key commercial, financial, and operational metrics supporting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and implement a prioritised KPI framework aligned to the requirements of the M&amp;A sale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refreshable data ingestion pipelines from core business systems (Finance System, CRM, ERP, and legacy sources) to ensure timely and accurate reporting throughout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dashboards with clear KPI definitions, calculation logic, and a user-friendly navigation structure tailored for senior leadership, advisors, and potential 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processes, KPI calculations, and data infrastructure to meet investor scrutiny and facilitate seamless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 extensible, scalable data model and reporting suite that can be readily expanded to future data sources and supports ongoing automation and scalability beyond the 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Clearly articulated equity narratives designed to support acquirer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Drafted in collaboration with key stakeholders to ensure accuracy and resonance with VONQ’s market positioning.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presentation deck and executive summary document.</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list of financial, commercial, and operational KPIs required for investor-grade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calculation logic, and source mappings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structured Excel/MS Word artifact and summary slides for inclusion in reporting packs.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visual mock-ups illustrating proposed dashboard structures, navigation flows, and key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Aligned to the defined KPI framework and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annotated PDF markups and accompanying presentation slides.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assessment of available data across Finance, CRM, ERP, and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key data gaps, risks, and required remediation for investor-ready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assessment report and summary playback deck.</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model depicting integration flows, key entities, relationships, and source-to-target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Incorporates the Qlik Warehouse as the foundation with extensions for identified future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data model diagram (e.g., Visio or Lucidchart) and supporting technical documentation.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options for reporting tools and data infrastructure, including pros, cons, and scalability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Trade-off analysis and recommendations clearly articulated for Phase 2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comparative options matrix and an executive memorandum.</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outlining key milestones, sequencing, dependencies, and critical success factors for technical build-out.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priority use cases, resource needs, and risks.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Gantt chart/timeline and supporting narrative roadmap document.</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focused on enabling a successful near-term exit by rapidly designing a scalable, investor-ready exit reporting suite. Our methodology is rooted in close stakeholder collaboration, proven data strategy frameworks, and actionable design deliverables. We will leverage existing data and reporting assets within the Qlik Warehouse while identifying key gaps, requirements, and best-practice approaches needed to deliver an M&amp;A-ready reporting suite. The project will be delivered in clearly defined phases, ensuring alignment with VONQ’s exit timeline and business priorities.</w:t>
      </w:r>
    </w:p>
    <w:p>
      <w:pPr>
        <w:spacing w:after="80"/>
      </w:pPr>
    </w:p>
    <w:p>
      <w:pPr>
        <w:spacing w:after="160" w:line="276" w:lineRule="auto"/>
      </w:pPr>
      <w:r>
        <w:rPr>
          <w:rFonts w:ascii="Arial" w:hAnsi="Arial"/>
          <w:b w:val="0"/>
          <w:i w:val="0"/>
          <w:color w:val="1D1C1C"/>
          <w:sz w:val="20"/>
        </w:rPr>
        <w:t>Our approach is organized into a structured Discovery &amp; Design phase, ensuring that all critical preparatory work—including requirements gathering, KPI framework definition, data feasibility, and conceptual modeling—is completed within a focused four-week window. The design outputs will be robust, decision-ready artefacts that set a clear blueprint for technical delivery in Phase 2. All activities will be scheduled to maximize input from VONQ’s finance, commercial, data/analytics, and leadership teams, as well as coordination with external advisors.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80"/>
      </w:pPr>
    </w:p>
    <w:p>
      <w:pPr>
        <w:spacing w:after="160" w:line="276" w:lineRule="auto"/>
      </w:pPr>
      <w:r>
        <w:rPr>
          <w:rFonts w:ascii="Arial" w:hAnsi="Arial"/>
          <w:b/>
          <w:i w:val="0"/>
          <w:color w:val="1D1C1C"/>
          <w:sz w:val="20"/>
        </w:rPr>
        <w:t>Summary:</w:t>
      </w:r>
    </w:p>
    <w:p>
      <w:pPr>
        <w:spacing w:after="160" w:line="276" w:lineRule="auto"/>
      </w:pPr>
      <w:r>
        <w:rPr>
          <w:rFonts w:ascii="Arial" w:hAnsi="Arial"/>
          <w:b w:val="0"/>
          <w:i w:val="0"/>
          <w:color w:val="1D1C1C"/>
          <w:sz w:val="20"/>
        </w:rPr>
        <w:t>Produce a validated exit reporting suite design—including equity narratives, KPI framework, dashboard mock-ups, data model, tooling recommendations, and implementation roadmap—to underpin the M&amp;A process and guide subsequent build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Host structured stakeholder workshops to define equity narratives, identify reporting requirements, and confirm critical KPIs for exit/investor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feasibility assessment across Finance System, CRM, ERP, legacy data, and Qlik Warehouse, including playback of data gap findings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prioritised ‘Metrics that Matter’ KPI framework, establishing calculation definitions and aligning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specifying layout, navigation, and reporting scope for investor and leadership consumption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conceptual data model and draft data pipeline automation approaches (batch processing), identifying any integration challenges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tooling and infrastructure options paper (with pros/cons), plus a phased implementation roadmap outlining dependencies, risks, and next steps for Phase 2</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structured phased approach ensures VONQ receives actionable and investor-ready reporting design deliverables on an accelerated timeline, minimizing transaction risk and positioning the company for a successful exit. By focusing Phase 1 exclusively on design, requirements definition, and feasibility, the foundation is laid for a seamless transition to subsequent technical build work (Phase 2) and lasting post-transaction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is set to enable VONQ’s successful exit by delivering an investor-grade reporting suite that provides clear, actionable insights for all transaction stakeholders. The initiative will address critical gaps in KPI visibility and data readiness, directly supporting both the equity narrative and timely decision-making throughout the M&amp;A process. The result will be a robust design foundation for Phase 2, accelerating the path to value realization and reducing transaction risk.</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Design:</w:t>
      </w:r>
      <w:r>
        <w:rPr>
          <w:rFonts w:ascii="Arial" w:hAnsi="Arial"/>
          <w:b w:val="0"/>
          <w:i w:val="0"/>
          <w:color w:val="1D1C1C"/>
          <w:sz w:val="20"/>
        </w:rPr>
        <w:t xml:space="preserve"> A validated suite of exit reporting assets, including dashboards and a prioritised KPI framework, empowering VONQ to credibly and consistently communicate its equity story to potential acquirers and investors.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KPI Transparency:</w:t>
      </w:r>
      <w:r>
        <w:rPr>
          <w:rFonts w:ascii="Arial" w:hAnsi="Arial"/>
          <w:b w:val="0"/>
          <w:i w:val="0"/>
          <w:color w:val="1D1C1C"/>
          <w:sz w:val="20"/>
        </w:rPr>
        <w:t xml:space="preserve"> Definition of commercial, financial, and operational performance metrics aligned with requirements of the M&amp;A process, enabling leadership and advisors to track progress and demonstrate value creation effectively.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Remediation Roadmap:</w:t>
      </w:r>
      <w:r>
        <w:rPr>
          <w:rFonts w:ascii="Arial" w:hAnsi="Arial"/>
          <w:b w:val="0"/>
          <w:i w:val="0"/>
          <w:color w:val="1D1C1C"/>
          <w:sz w:val="20"/>
        </w:rPr>
        <w:t xml:space="preserve"> A clear identification of existing data gaps and remediation priorities, ensuring that necessary information is available and reliable ahead of key investor presentations.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Refreshable Data Infrastructure:</w:t>
      </w:r>
      <w:r>
        <w:rPr>
          <w:rFonts w:ascii="Arial" w:hAnsi="Arial"/>
          <w:b w:val="0"/>
          <w:i w:val="0"/>
          <w:color w:val="1D1C1C"/>
          <w:sz w:val="20"/>
        </w:rPr>
        <w:t xml:space="preserve"> Recommendations and conceptual design for a scalable data model and recurring refresh pipelines, so reporting can be quickly updated during the transaction and remain extensible post-exit.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Delivery of sign-off-ready design artefacts—KPI framework, dashboard mock-ups, and implementation roadmap—that de-risk the transaction timeline and provide a seamless transition into Phase 2 technical build.</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Confidence:</w:t>
      </w:r>
      <w:r>
        <w:rPr>
          <w:rFonts w:ascii="Arial" w:hAnsi="Arial"/>
          <w:b w:val="0"/>
          <w:i w:val="0"/>
          <w:color w:val="1D1C1C"/>
          <w:sz w:val="20"/>
        </w:rPr>
        <w:t xml:space="preserve"> Transparent, investor-grade reporting and well-documented equity narratives enhance the confidence of senior leadership, advisors, and potential buyers, minimizing reputational risks and supporting successful negotiations.</w:t>
      </w:r>
    </w:p>
    <w:p>
      <w:pPr>
        <w:spacing w:after="80"/>
      </w:pPr>
    </w:p>
    <w:p>
      <w:pPr>
        <w:spacing w:after="160" w:line="276" w:lineRule="auto"/>
      </w:pPr>
      <w:r>
        <w:rPr>
          <w:rFonts w:ascii="Arial" w:hAnsi="Arial"/>
          <w:b w:val="0"/>
          <w:i w:val="0"/>
          <w:color w:val="1D1C1C"/>
          <w:sz w:val="20"/>
        </w:rPr>
        <w:t>These outcomes will be measured by the completion and approval of design artefacts, alignment of KPIs to the equity narrative, and readiness to progress into Phase 2 on schedule, ultimately positioning VONQ for a successful and timely exit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By delivering a validated, investor-grade reporting suite—comprised of equity narrative-aligned dashboards, KPI frameworks, and data models—VONQ can compress the time required to prepare for M&amp;A, reducing risk of transaction delays and supporting adherence to the targeted exit timeline of 4 weeks for Phase 1.</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Data-Driven Decision Making:</w:t>
      </w:r>
      <w:r>
        <w:rPr>
          <w:rFonts w:ascii="Arial" w:hAnsi="Arial"/>
          <w:b w:val="0"/>
          <w:i w:val="0"/>
          <w:color w:val="1D1C1C"/>
          <w:sz w:val="20"/>
        </w:rPr>
        <w:t xml:space="preserve"> The solution will automate ingestion and refresh processes across core systems (Finance, CRM, ERP), ensuring leadership and advisors have timely, accurate access to trended business metrics. This enhances visibility into financial and operational performance, reducing manual effort for reporting and analysis by up to 50% during the exit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Efficiency and Resource Optimization:</w:t>
      </w:r>
      <w:r>
        <w:rPr>
          <w:rFonts w:ascii="Arial" w:hAnsi="Arial"/>
          <w:b w:val="0"/>
          <w:i w:val="0"/>
          <w:color w:val="1D1C1C"/>
          <w:sz w:val="20"/>
        </w:rPr>
        <w:t xml:space="preserve"> Automating critical reporting workflows reduces dependency on manual compilation, likely realizing indirect cost savings by minimizing hours spent on spreadsheet-based tasks and iterative data validation, while freeing high-value personnel for strategic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KPI Framework:</w:t>
      </w:r>
      <w:r>
        <w:rPr>
          <w:rFonts w:ascii="Arial" w:hAnsi="Arial"/>
          <w:b w:val="0"/>
          <w:i w:val="0"/>
          <w:color w:val="1D1C1C"/>
          <w:sz w:val="20"/>
        </w:rPr>
        <w:t xml:space="preserve"> Delivery of standardised, transparent KPIs mapped to the equity narrative will directly address current reporting gaps, improving stakeholder confidence, and enabling clear, credible communication with potential acquirers and advisors such as Barclays.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Future-Proofed Data Architecture:</w:t>
      </w:r>
      <w:r>
        <w:rPr>
          <w:rFonts w:ascii="Arial" w:hAnsi="Arial"/>
          <w:b w:val="0"/>
          <w:i w:val="0"/>
          <w:color w:val="1D1C1C"/>
          <w:sz w:val="20"/>
        </w:rPr>
        <w:t xml:space="preserve"> The conceptual design and tooling recommendations will create a scalable foundation, ensuring the exit reporting suite is extensible to additional data sources post-transaction and can be fully automated in the future, aligning with VONQ’s long-term SaaS scalability vision.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Transaction Risk:</w:t>
      </w:r>
      <w:r>
        <w:rPr>
          <w:rFonts w:ascii="Arial" w:hAnsi="Arial"/>
          <w:b w:val="0"/>
          <w:i w:val="0"/>
          <w:color w:val="1D1C1C"/>
          <w:sz w:val="20"/>
        </w:rPr>
        <w:t xml:space="preserve"> Early identification of data gaps and recommended remediation actions help mitigate risks of incomplete or non-credible reporting, reducing reputational risk with potential buyers and supporting smoother due diligence.</w:t>
      </w:r>
    </w:p>
    <w:p>
      <w:pPr>
        <w:spacing w:after="80"/>
      </w:pPr>
    </w:p>
    <w:p>
      <w:pPr>
        <w:spacing w:after="160" w:line="276" w:lineRule="auto"/>
      </w:pPr>
      <w:r>
        <w:rPr>
          <w:rFonts w:ascii="Arial" w:hAnsi="Arial"/>
          <w:b w:val="0"/>
          <w:i w:val="0"/>
          <w:color w:val="1D1C1C"/>
          <w:sz w:val="20"/>
        </w:rPr>
        <w:t>This engagement positions VONQ to execute a successful, timely exit by establishing best-in-class reporting design and data infrastructure. By enabling automated, investor-ready insights, the initiative drives measurable operational efficiencies, reduces transaction risk, and equips leadership with the analytical tools required for value maximization during the M&amp;A process.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