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75474" w14:textId="77777777" w:rsidR="00517C4F" w:rsidRDefault="00517C4F" w:rsidP="00785FBA">
      <w:pPr>
        <w:rPr>
          <w:color w:val="173845"/>
        </w:rPr>
      </w:pPr>
    </w:p>
    <w:p w14:paraId="0D5FE080" w14:textId="77777777" w:rsidR="000F1FD4" w:rsidRDefault="00EB74F2" w:rsidP="00785FBA">
      <w:pPr>
        <w:rPr>
          <w:color w:val="173845"/>
        </w:rPr>
        <w:sectPr w:rsidR="000F1FD4" w:rsidSect="00A264FD">
          <w:headerReference w:type="even" r:id="rId11"/>
          <w:headerReference w:type="default" r:id="rId12"/>
          <w:footerReference w:type="even" r:id="rId13"/>
          <w:footerReference w:type="default" r:id="rId14"/>
          <w:headerReference w:type="first" r:id="rId15"/>
          <w:footerReference w:type="first" r:id="rId16"/>
          <w:pgSz w:w="11906" w:h="16838" w:code="9"/>
          <w:pgMar w:top="677" w:right="994" w:bottom="1282" w:left="994" w:header="562" w:footer="397" w:gutter="0"/>
          <w:cols w:space="708"/>
          <w:titlePg/>
          <w:docGrid w:linePitch="360"/>
        </w:sectPr>
      </w:pPr>
      <w:r>
        <w:rPr>
          <w:noProof/>
          <w:lang w:eastAsia="en-GB"/>
        </w:rPr>
        <mc:AlternateContent>
          <mc:Choice Requires="wps">
            <w:drawing>
              <wp:anchor distT="0" distB="0" distL="114300" distR="114300" simplePos="0" relativeHeight="251652096" behindDoc="0" locked="0" layoutInCell="1" allowOverlap="1" wp14:anchorId="60E8383E" wp14:editId="47C28701">
                <wp:simplePos x="0" y="0"/>
                <wp:positionH relativeFrom="column">
                  <wp:posOffset>-92710</wp:posOffset>
                </wp:positionH>
                <wp:positionV relativeFrom="paragraph">
                  <wp:posOffset>4704080</wp:posOffset>
                </wp:positionV>
                <wp:extent cx="6353810" cy="0"/>
                <wp:effectExtent l="0" t="0" r="0" b="0"/>
                <wp:wrapNone/>
                <wp:docPr id="295" name="Straight Connector 295"/>
                <wp:cNvGraphicFramePr/>
                <a:graphic xmlns:a="http://schemas.openxmlformats.org/drawingml/2006/main">
                  <a:graphicData uri="http://schemas.microsoft.com/office/word/2010/wordprocessingShape">
                    <wps:wsp>
                      <wps:cNvCnPr/>
                      <wps:spPr>
                        <a:xfrm>
                          <a:off x="0" y="0"/>
                          <a:ext cx="635381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1BA7D92" id="Straight Connector 295" o:spid="_x0000_s1026" style="position:absolute;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3pt,370.4pt" to="493pt,37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" strokecolor="white [3212]" strokeweight=".5pt">
                <v:stroke joinstyle="miter"/>
              </v:line>
            </w:pict>
          </mc:Fallback>
        </mc:AlternateContent>
      </w:r>
      <w:r>
        <w:rPr>
          <w:noProof/>
          <w:lang w:eastAsia="en-GB"/>
        </w:rPr>
        <mc:AlternateContent>
          <mc:Choice Requires="wps">
            <w:drawing>
              <wp:anchor distT="0" distB="0" distL="182880" distR="182880" simplePos="0" relativeHeight="251651072" behindDoc="0" locked="0" layoutInCell="1" allowOverlap="1" wp14:anchorId="0CC1FB19" wp14:editId="08CA975F">
                <wp:simplePos x="0" y="0"/>
                <wp:positionH relativeFrom="margin">
                  <wp:posOffset>-100330</wp:posOffset>
                </wp:positionH>
                <wp:positionV relativeFrom="page">
                  <wp:posOffset>4966269</wp:posOffset>
                </wp:positionV>
                <wp:extent cx="6355080" cy="871220"/>
                <wp:effectExtent l="0" t="0" r="7620" b="8255"/>
                <wp:wrapSquare wrapText="bothSides"/>
                <wp:docPr id="32"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5080" cy="871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8CCA86A" w14:textId="77777777" w:rsidR="00150C03" w:rsidRPr="00842D24" w:rsidRDefault="00000000" w:rsidP="00150C03">
                            <w:pPr>
                              <w:pStyle w:val="NoSpacing"/>
                              <w:spacing w:before="40" w:after="200" w:line="216" w:lineRule="auto"/>
                              <w:rPr>
                                <w:rStyle w:val="HeaderChar"/>
                                <w:rFonts w:ascii="Arial" w:hAnsi="Arial" w:cs="Arial"/>
                                <w:color w:val="FFFFFF" w:themeColor="background1"/>
                                <w:sz w:val="68"/>
                                <w:szCs w:val="68"/>
                              </w:rPr>
                            </w:pPr>
                            <w:sdt>
                              <w:sdtPr>
                                <w:rPr>
                                  <w:rStyle w:val="HeaderChar"/>
                                  <w:rFonts w:ascii="Arial" w:eastAsiaTheme="majorEastAsia" w:hAnsi="Arial" w:cs="Arial"/>
                                  <w:b/>
                                  <w:color w:val="FFFFFF" w:themeColor="background1"/>
                                  <w:spacing w:val="-10"/>
                                  <w:kern w:val="28"/>
                                  <w:sz w:val="68"/>
                                  <w:szCs w:val="68"/>
                                </w:rPr>
                                <w:alias w:val="Title"/>
                                <w:tag w:val=""/>
                                <w:id w:val="1849745393"/>
                                <w:dataBinding w:prefixMappings="xmlns:ns0='http://purl.org/dc/elements/1.1/' xmlns:ns1='http://schemas.openxmlformats.org/package/2006/metadata/core-properties' " w:xpath="/ns1:coreProperties[1]/ns0:title[1]" w:storeItemID="{6C3C8BC8-F283-45AE-878A-BAB7291924A1}"/>
                                <w:text/>
                              </w:sdtPr>
                              <w:sdtContent>
                                <w:r w:rsidR="00E4779D" w:rsidRPr="00E4779D">
                                  <w:rPr>
                                    <w:rStyle w:val="HeaderChar"/>
                                    <w:rFonts w:ascii="Arial" w:eastAsiaTheme="majorEastAsia" w:hAnsi="Arial" w:cs="Arial"/>
                                    <w:b/>
                                    <w:color w:val="FFFFFF" w:themeColor="background1"/>
                                    <w:spacing w:val="-10"/>
                                    <w:kern w:val="28"/>
                                    <w:sz w:val="68"/>
                                    <w:szCs w:val="68"/>
                                  </w:rPr>
                                  <w:t>Recon</w:t>
                                </w:r>
                              </w:sdtContent>
                            </w:sdt>
                          </w:p>
                          <w:p w14:paraId="5E65EE74" w14:textId="77777777" w:rsidR="00150C03" w:rsidRPr="00842D24" w:rsidRDefault="00150C03" w:rsidP="00150C03">
                            <w:pPr>
                              <w:pStyle w:val="NoSpacing"/>
                              <w:spacing w:before="40" w:after="40"/>
                              <w:rPr>
                                <w:color w:val="FFFFFF" w:themeColor="background1"/>
                                <w:sz w:val="44"/>
                                <w:szCs w:val="44"/>
                              </w:rPr>
                            </w:pPr>
                            <w:r w:rsidRPr="00842D24">
                              <w:rPr>
                                <w:rFonts w:ascii="Arial" w:hAnsi="Arial" w:cs="Arial"/>
                                <w:color w:val="FFFFFF" w:themeColor="background1"/>
                                <w:sz w:val="44"/>
                                <w:szCs w:val="44"/>
                                <w:lang w:val="en-GB"/>
                              </w:rPr>
                              <w:t>Pipeline lineage and reconciliation — setup, operation and architecture · 2026-08-04</w:t>
                            </w:r>
                          </w:p>
                        </w:txbxContent>
                      </wps:txbx>
                      <wps:bodyPr rot="0" vert="horz" wrap="square" lIns="0" tIns="0" rIns="0" bIns="0" anchor="t" anchorCtr="0" upright="1">
                        <a:spAutoFit/>
                      </wps:bodyPr>
                    </wps:wsp>
                  </a:graphicData>
                </a:graphic>
                <wp14:sizeRelH relativeFrom="margin">
                  <wp14:pctWidth>0</wp14:pctWidth>
                </wp14:sizeRelH>
                <wp14:sizeRelV relativeFrom="page">
                  <wp14:pctHeight>35000</wp14:pctHeight>
                </wp14:sizeRelV>
              </wp:anchor>
            </w:drawing>
          </mc:Choice>
          <mc:Fallback>
            <w:pict>
              <v:shapetype w14:anchorId="0CC1FB19" id="_x0000_t202" coordsize="21600,21600" o:spt="202" path="m,l,21600r21600,l21600,xe">
                <v:stroke joinstyle="miter"/>
                <v:path gradientshapeok="t" o:connecttype="rect"/>
              </v:shapetype>
              <v:shape id="Text Box 131" o:spid="_x0000_s1026" type="#_x0000_t202" style="position:absolute;margin-left:-7.9pt;margin-top:391.05pt;width:500.4pt;height:68.6pt;z-index:251651072;visibility:visible;mso-wrap-style:square;mso-width-percent:0;mso-height-percent:350;mso-wrap-distance-left:14.4pt;mso-wrap-distance-top:0;mso-wrap-distance-right:14.4pt;mso-wrap-distance-bottom:0;mso-position-horizontal:absolute;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" filled="f" stroked="f" strokeweight=".5pt">
                <v:textbox style="mso-fit-shape-to-text:t" inset="0,0,0,0">
                  <w:txbxContent>
                    <w:p w14:paraId="78CCA86A" w14:textId="77777777" w:rsidR="00150C03" w:rsidRPr="00842D24" w:rsidRDefault="00000000" w:rsidP="00150C03">
                      <w:pPr>
                        <w:pStyle w:val="NoSpacing"/>
                        <w:spacing w:before="40" w:after="200" w:line="216" w:lineRule="auto"/>
                        <w:rPr>
                          <w:rStyle w:val="HeaderChar"/>
                          <w:rFonts w:ascii="Arial" w:hAnsi="Arial" w:cs="Arial"/>
                          <w:color w:val="FFFFFF" w:themeColor="background1"/>
                          <w:sz w:val="68"/>
                          <w:szCs w:val="68"/>
                        </w:rPr>
                      </w:pPr>
                      <w:sdt>
                        <w:sdtPr>
                          <w:rPr>
                            <w:rStyle w:val="HeaderChar"/>
                            <w:rFonts w:ascii="Arial" w:eastAsiaTheme="majorEastAsia" w:hAnsi="Arial" w:cs="Arial"/>
                            <w:b/>
                            <w:color w:val="FFFFFF" w:themeColor="background1"/>
                            <w:spacing w:val="-10"/>
                            <w:kern w:val="28"/>
                            <w:sz w:val="68"/>
                            <w:szCs w:val="68"/>
                          </w:rPr>
                          <w:alias w:val="Title"/>
                          <w:tag w:val=""/>
                          <w:id w:val="1849745393"/>
                          <w:dataBinding w:prefixMappings="xmlns:ns0='http://purl.org/dc/elements/1.1/' xmlns:ns1='http://schemas.openxmlformats.org/package/2006/metadata/core-properties' " w:xpath="/ns1:coreProperties[1]/ns0:title[1]" w:storeItemID="{6C3C8BC8-F283-45AE-878A-BAB7291924A1}"/>
                          <w:text/>
                        </w:sdtPr>
                        <w:sdtContent>
                          <w:r w:rsidR="00E4779D" w:rsidRPr="00E4779D">
                            <w:rPr>
                              <w:rStyle w:val="HeaderChar"/>
                              <w:rFonts w:ascii="Arial" w:eastAsiaTheme="majorEastAsia" w:hAnsi="Arial" w:cs="Arial"/>
                              <w:b/>
                              <w:color w:val="FFFFFF" w:themeColor="background1"/>
                              <w:spacing w:val="-10"/>
                              <w:kern w:val="28"/>
                              <w:sz w:val="68"/>
                              <w:szCs w:val="68"/>
                            </w:rPr>
                            <w:t>Recon</w:t>
                          </w:r>
                        </w:sdtContent>
                      </w:sdt>
                    </w:p>
                    <w:p w14:paraId="5E65EE74" w14:textId="77777777" w:rsidR="00150C03" w:rsidRPr="00842D24" w:rsidRDefault="00150C03" w:rsidP="00150C03">
                      <w:pPr>
                        <w:pStyle w:val="NoSpacing"/>
                        <w:spacing w:before="40" w:after="40"/>
                        <w:rPr>
                          <w:color w:val="FFFFFF" w:themeColor="background1"/>
                          <w:sz w:val="44"/>
                          <w:szCs w:val="44"/>
                        </w:rPr>
                      </w:pPr>
                      <w:r w:rsidRPr="00842D24">
                        <w:rPr>
                          <w:rFonts w:ascii="Arial" w:hAnsi="Arial" w:cs="Arial"/>
                          <w:color w:val="FFFFFF" w:themeColor="background1"/>
                          <w:sz w:val="44"/>
                          <w:szCs w:val="44"/>
                          <w:lang w:val="en-GB"/>
                        </w:rPr>
                        <w:t>Pipeline lineage and reconciliation — setup, operation and architecture · 2026-08-04</w:t>
                      </w:r>
                    </w:p>
                  </w:txbxContent>
                </v:textbox>
                <w10:wrap type="square" anchorx="margin" anchory="page"/>
              </v:shape>
            </w:pict>
          </mc:Fallback>
        </mc:AlternateContent>
      </w:r>
    </w:p>
    <w:p>
      <w:pPr>
        <w:pStyle w:val="TOCHeading"/>
      </w:pPr>
      <w:r>
        <w:t xml:space="preserve">Table of contents</w:t>
      </w:r>
    </w:p>
    <w:p>
      <w:pPr>
        <w:pStyle w:val="TOC1"/>
      </w:pPr>
      <w:r>
        <w:fldChar w:fldCharType="begin" w:dirty="true"/>
      </w:r>
      <w:r>
        <w:instrText xml:space="preserve"> TOC \o "1-3" \h \z \u </w:instrText>
      </w:r>
      <w:r>
        <w:fldChar w:fldCharType="separate"/>
      </w:r>
      <w:r>
        <w:t xml:space="preserve">Introduction</w:t>
      </w:r>
    </w:p>
    <w:p>
      <w:pPr>
        <w:pStyle w:val="TOC2"/>
      </w:pPr>
      <w:r>
        <w:t xml:space="preserve">Three ways in</w:t>
      </w:r>
    </w:p>
    <w:p>
      <w:pPr>
        <w:pStyle w:val="TOC2"/>
      </w:pPr>
      <w:r>
        <w:t xml:space="preserve">What has been built</w:t>
      </w:r>
    </w:p>
    <w:p>
      <w:pPr>
        <w:pStyle w:val="TOC1"/>
      </w:pPr>
      <w:r>
        <w:t xml:space="preserve">Getting started</w:t>
      </w:r>
    </w:p>
    <w:p>
      <w:pPr>
        <w:pStyle w:val="TOC2"/>
      </w:pPr>
      <w:r>
        <w:t xml:space="preserve">Prerequisites</w:t>
      </w:r>
    </w:p>
    <w:p>
      <w:pPr>
        <w:pStyle w:val="TOC2"/>
      </w:pPr>
      <w:r>
        <w:t xml:space="preserve">Install</w:t>
      </w:r>
    </w:p>
    <w:p>
      <w:pPr>
        <w:pStyle w:val="TOC2"/>
      </w:pPr>
      <w:r>
        <w:t xml:space="preserve">Configure</w:t>
      </w:r>
    </w:p>
    <w:p>
      <w:pPr>
        <w:pStyle w:val="TOC2"/>
      </w:pPr>
      <w:r>
        <w:t xml:space="preserve">Run the web app</w:t>
      </w:r>
    </w:p>
    <w:p>
      <w:pPr>
        <w:pStyle w:val="TOC2"/>
      </w:pPr>
      <w:r>
        <w:t xml:space="preserve">Run the CLI</w:t>
      </w:r>
    </w:p>
    <w:p>
      <w:pPr>
        <w:pStyle w:val="TOC2"/>
      </w:pPr>
      <w:r>
        <w:t xml:space="preserve">First-run troubleshooting</w:t>
      </w:r>
    </w:p>
    <w:p>
      <w:pPr>
        <w:pStyle w:val="TOC1"/>
      </w:pPr>
      <w:r>
        <w:t xml:space="preserve">The reconcile command line</w:t>
      </w:r>
    </w:p>
    <w:p>
      <w:pPr>
        <w:pStyle w:val="TOC2"/>
      </w:pPr>
      <w:r>
        <w:t xml:space="preserve">Commands</w:t>
      </w:r>
    </w:p>
    <w:p>
      <w:pPr>
        <w:pStyle w:val="TOC2"/>
      </w:pPr>
      <w:r>
        <w:t xml:space="preserve">Options</w:t>
      </w:r>
    </w:p>
    <w:p>
      <w:pPr>
        <w:pStyle w:val="TOC2"/>
      </w:pPr>
      <w:r>
        <w:t xml:space="preserve">A typical session</w:t>
      </w:r>
    </w:p>
    <w:p>
      <w:pPr>
        <w:pStyle w:val="TOC1"/>
      </w:pPr>
      <w:r>
        <w:t xml:space="preserve">The web application</w:t>
      </w:r>
    </w:p>
    <w:p>
      <w:pPr>
        <w:pStyle w:val="TOC2"/>
      </w:pPr>
      <w:r>
        <w:t xml:space="preserve">Databricks dashboard</w:t>
      </w:r>
    </w:p>
    <w:p>
      <w:pPr>
        <w:pStyle w:val="TOC2"/>
      </w:pPr>
      <w:r>
        <w:t xml:space="preserve">Local-folder dashboard</w:t>
      </w:r>
    </w:p>
    <w:p>
      <w:pPr>
        <w:pStyle w:val="TOC2"/>
      </w:pPr>
      <w:r>
        <w:t xml:space="preserve">Upload limits</w:t>
      </w:r>
    </w:p>
    <w:p>
      <w:pPr>
        <w:pStyle w:val="TOC1"/>
      </w:pPr>
      <w:r>
        <w:t xml:space="preserve">How Recon works</w:t>
      </w:r>
    </w:p>
    <w:p>
      <w:pPr>
        <w:pStyle w:val="TOC2"/>
      </w:pPr>
      <w:r>
        <w:t xml:space="preserve">There is no database</w:t>
      </w:r>
    </w:p>
    <w:p>
      <w:pPr>
        <w:pStyle w:val="TOC2"/>
      </w:pPr>
      <w:r>
        <w:t xml:space="preserve">The parsing layer</w:t>
      </w:r>
    </w:p>
    <w:p>
      <w:pPr>
        <w:pStyle w:val="TOC2"/>
      </w:pPr>
      <w:r>
        <w:t xml:space="preserve">Layers and lineage</w:t>
      </w:r>
    </w:p>
    <w:p>
      <w:pPr>
        <w:pStyle w:val="TOC2"/>
      </w:pPr>
      <w:r>
        <w:t xml:space="preserve">How a check is chosen</w:t>
      </w:r>
    </w:p>
    <w:p>
      <w:pPr>
        <w:pStyle w:val="TOC2"/>
      </w:pPr>
      <w:r>
        <w:t xml:space="preserve">Where the model is used, and where it is not</w:t>
      </w:r>
    </w:p>
    <w:p>
      <w:pPr>
        <w:pStyle w:val="TOC1"/>
      </w:pPr>
      <w:r>
        <w:t xml:space="preserve">The analysis flows</w:t>
      </w:r>
    </w:p>
    <w:p>
      <w:pPr>
        <w:pStyle w:val="TOC1"/>
      </w:pPr>
      <w:r>
        <w:t xml:space="preserve">What gets generated</w:t>
      </w:r>
    </w:p>
    <w:p>
      <w:pPr>
        <w:pStyle w:val="TOC2"/>
      </w:pPr>
      <w:r>
        <w:t xml:space="preserve">governance/ — the reconciliation</w:t>
      </w:r>
    </w:p>
    <w:p>
      <w:pPr>
        <w:pStyle w:val="TOC2"/>
      </w:pPr>
      <w:r>
        <w:t xml:space="preserve">lineage/ — the approved graph</w:t>
      </w:r>
    </w:p>
    <w:p>
      <w:pPr>
        <w:pStyle w:val="TOC2"/>
      </w:pPr>
      <w:r>
        <w:t xml:space="preserve">documentation/ — the write-up</w:t>
      </w:r>
    </w:p>
    <w:p>
      <w:pPr>
        <w:pStyle w:val="TOC2"/>
      </w:pPr>
      <w:r>
        <w:t xml:space="preserve">diagrams/ — the lineage as shapes</w:t>
      </w:r>
    </w:p>
    <w:p>
      <w:pPr>
        <w:pStyle w:val="TOC1"/>
      </w:pPr>
      <w:r>
        <w:t xml:space="preserve">Configuration reference</w:t>
      </w:r>
    </w:p>
    <w:p>
      <w:pPr>
        <w:pStyle w:val="TOC2"/>
      </w:pPr>
      <w:r>
        <w:t xml:space="preserve">Required for the LLM-backed steps</w:t>
      </w:r>
    </w:p>
    <w:p>
      <w:pPr>
        <w:pStyle w:val="TOC2"/>
      </w:pPr>
      <w:r>
        <w:t xml:space="preserve">Optional tuning</w:t>
      </w:r>
    </w:p>
    <w:p>
      <w:pPr>
        <w:pStyle w:val="TOC2"/>
      </w:pPr>
      <w:r>
        <w:t xml:space="preserve">How the Word template is found</w:t>
      </w:r>
    </w:p>
    <w:p>
      <w:pPr>
        <w:pStyle w:val="TOC1"/>
      </w:pPr>
      <w:r>
        <w:t xml:space="preserve">API reference</w:t>
      </w:r>
    </w:p>
    <w:p>
      <w:pPr>
        <w:pStyle w:val="TOC2"/>
      </w:pPr>
      <w:r>
        <w:t xml:space="preserve">Status code conventions</w:t>
      </w:r>
    </w:p>
    <w:p>
      <w:pPr>
        <w:pStyle w:val="TOC1"/>
      </w:pPr>
      <w:r>
        <w:t xml:space="preserve">Working on the codebase</w:t>
      </w:r>
    </w:p>
    <w:p>
      <w:pPr>
        <w:pStyle w:val="TOC2"/>
      </w:pPr>
      <w:r>
        <w:t xml:space="preserve">Layout</w:t>
      </w:r>
    </w:p>
    <w:p>
      <w:pPr>
        <w:pStyle w:val="TOC2"/>
      </w:pPr>
      <w:r>
        <w:t xml:space="preserve">Commands</w:t>
      </w:r>
    </w:p>
    <w:p>
      <w:pPr>
        <w:pStyle w:val="TOC2"/>
      </w:pPr>
      <w:r>
        <w:t xml:space="preserve">Invariants worth knowing before changing anything</w:t>
      </w:r>
      <w:r>
        <w:fldChar w:fldCharType="end"/>
      </w:r>
    </w:p>
    <w:p>
      <w:r>
        <w:br w:type="page"/>
      </w:r>
    </w:p>
    <w:p>
      <w:pPr>
        <w:pStyle w:val="Heading1"/>
      </w:pPr>
      <w:r>
        <w:t xml:space="preserve">Introduction</w:t>
      </w:r>
    </w:p>
    <w:p>
      <w:r>
        <w:t xml:space="preserve">Recon reads the SQL and Databricks notebooks that build a data warehouse and answers the two questions an engineer otherwise answers by hand: what feeds what, and does each hop still tie out. It analyses the code statically rather than running it, so it works on a folder of .sql files with no warehouse, no catalog and no credentials.</w:t>
      </w:r>
    </w:p>
    <w:p>
      <w:r>
        <w:t xml:space="preserve">Two things come out of that. Lineage — every table, and every statement that reads one table to write another, drawn as a graph and exportable as editable PowerPoint shapes. And reconciliation — a runnable SQL query per pipeline hop that compares row counts, measure totals, label value sets and key integrity between each target table and the sources that build it.</w:t>
      </w:r>
    </w:p>
    <w:p>
      <w:r>
        <w:t xml:space="preserve">What lands on disk at the end of a run:</w:t>
      </w:r>
    </w:p>
    <w:p>
      <w:pPr>
        <w:pStyle w:val="Bullet"/>
      </w:pPr>
      <w:r>
        <w:t xml:space="preserve">governance/ — one runnable .sql per hop, returning one status row per check.</w:t>
      </w:r>
    </w:p>
    <w:p>
      <w:pPr>
        <w:pStyle w:val="Bullet"/>
      </w:pPr>
      <w:r>
        <w:t xml:space="preserve">lineage/ — the approved graph as HTML, JSON and PowerPoint.</w:t>
      </w:r>
    </w:p>
    <w:p>
      <w:pPr>
        <w:pStyle w:val="Bullet"/>
      </w:pPr>
      <w:r>
        <w:t xml:space="preserve">documentation/ — the pipeline written up as a branded Word document plus Markdown.</w:t>
      </w:r>
    </w:p>
    <w:p>
      <w:pPr>
        <w:pStyle w:val="Bullet"/>
      </w:pPr>
      <w:r>
        <w:t xml:space="preserve">diagrams/ — the lineage as a .pptx of real shapes and one Office-ready .svg per hop.</w:t>
      </w:r>
    </w:p>
    <w:p>
      <w:pPr>
        <w:pStyle w:val="Heading2"/>
      </w:pPr>
      <w:r>
        <w:t xml:space="preserve">Three ways in</w:t>
      </w:r>
    </w:p>
    <w:p>
      <w:r>
        <w:t xml:space="preserve">The same services back all three. Pick by what you have access to, not by what you want out of it.</w:t>
      </w:r>
    </w:p>
    <w:tbl>
      <w:tblPr>
        <w:tblStyle w:val="Style1"/>
        <w:tblW w:w="5000" w:type="pct"/>
        <w:tblLook w:val="04A0" w:firstRow="1" w:lastRow="0" w:firstColumn="1" w:lastColumn="0" w:noHBand="0" w:noVBand="1"/>
      </w:tblPr>
      <w:tblGrid>
        <w:gridCol w:w="2380"/>
        <w:gridCol w:w="3372"/>
        <w:gridCol w:w="4166"/>
      </w:tblGrid>
      <w:tr>
        <w:trPr>
          <w:cnfStyle w:val="100000000000" w:firstRow="1" w:lastRow="0" w:firstColumn="0" w:lastColumn="0" w:oddVBand="0" w:evenVBand="0" w:oddHBand="0" w:evenHBand="0" w:firstRowFirstColumn="0" w:firstRowLastColumn="0" w:lastRowFirstColumn="0" w:lastRowLastColumn="0"/>
          <w:tblHeader/>
          <w:trHeight w:val="397"/>
        </w:trPr>
        <w:tc>
          <w:tcPr>
            <w:tcW w:w="1200" w:type="pct"/>
          </w:tcPr>
          <w:p>
            <w:pPr>
              <w:spacing w:after="0" w:line="240" w:lineRule="auto"/>
            </w:pPr>
            <w:r>
              <w:rPr>
                <w:b/>
                <w:color w:val="FFFFFF" w:themeColor="background1"/>
              </w:rPr>
              <w:t xml:space="preserve">Entry point</w:t>
            </w:r>
          </w:p>
        </w:tc>
        <w:tc>
          <w:tcPr>
            <w:tcW w:w="1700" w:type="pct"/>
          </w:tcPr>
          <w:p>
            <w:pPr>
              <w:spacing w:after="0" w:line="240" w:lineRule="auto"/>
            </w:pPr>
            <w:r>
              <w:rPr>
                <w:b/>
                <w:color w:val="FFFFFF" w:themeColor="background1"/>
              </w:rPr>
              <w:t xml:space="preserve">What it needs</w:t>
            </w:r>
          </w:p>
        </w:tc>
        <w:tc>
          <w:tcPr>
            <w:tcW w:w="2100" w:type="pct"/>
          </w:tcPr>
          <w:p>
            <w:pPr>
              <w:spacing w:after="0" w:line="240" w:lineRule="auto"/>
            </w:pPr>
            <w:r>
              <w:rPr>
                <w:b/>
                <w:color w:val="FFFFFF" w:themeColor="background1"/>
              </w:rPr>
              <w:t xml:space="preserve">Best for</w:t>
            </w:r>
          </w:p>
        </w:tc>
      </w:tr>
      <w:tr>
        <w:tc>
          <w:tcPr>
            <w:tcW w:w="1200" w:type="pct"/>
          </w:tcPr>
          <w:p>
            <w:pPr>
              <w:spacing w:after="0" w:line="240" w:lineRule="auto"/>
            </w:pPr>
            <w:r>
              <w:t xml:space="preserve">reconcile CLI</w:t>
            </w:r>
          </w:p>
        </w:tc>
        <w:tc>
          <w:tcPr>
            <w:tcW w:w="1700" w:type="pct"/>
          </w:tcPr>
          <w:p>
            <w:pPr>
              <w:spacing w:after="0" w:line="240" w:lineRule="auto"/>
            </w:pPr>
            <w:r>
              <w:t xml:space="preserve">A folder of .sql files or notebook exports on disk</w:t>
            </w:r>
          </w:p>
        </w:tc>
        <w:tc>
          <w:tcPr>
            <w:tcW w:w="2100" w:type="pct"/>
          </w:tcPr>
          <w:p>
            <w:pPr>
              <w:spacing w:after="0" w:line="240" w:lineRule="auto"/>
            </w:pPr>
            <w:r>
              <w:t xml:space="preserve">Offline analysis, CI, and producing a handover document — no browser, no server</w:t>
            </w:r>
          </w:p>
        </w:tc>
      </w:tr>
      <w:tr>
        <w:tc>
          <w:tcPr>
            <w:tcW w:w="1200" w:type="pct"/>
          </w:tcPr>
          <w:p>
            <w:pPr>
              <w:spacing w:after="0" w:line="240" w:lineRule="auto"/>
            </w:pPr>
            <w:r>
              <w:t xml:space="preserve">Web app — local folder</w:t>
            </w:r>
          </w:p>
        </w:tc>
        <w:tc>
          <w:tcPr>
            <w:tcW w:w="1700" w:type="pct"/>
          </w:tcPr>
          <w:p>
            <w:pPr>
              <w:spacing w:after="0" w:line="240" w:lineRule="auto"/>
            </w:pPr>
            <w:r>
              <w:t xml:space="preserve">The server plus a browser; you pick a folder from disk</w:t>
            </w:r>
          </w:p>
        </w:tc>
        <w:tc>
          <w:tcPr>
            <w:tcW w:w="2100" w:type="pct"/>
          </w:tcPr>
          <w:p>
            <w:pPr>
              <w:spacing w:after="0" w:line="240" w:lineRule="auto"/>
            </w:pPr>
            <w:r>
              <w:t xml:space="preserve">Exploring an unfamiliar SQL project interactively before committing to a run</w:t>
            </w:r>
          </w:p>
        </w:tc>
      </w:tr>
      <w:tr>
        <w:tc>
          <w:tcPr>
            <w:tcW w:w="1200" w:type="pct"/>
          </w:tcPr>
          <w:p>
            <w:pPr>
              <w:spacing w:after="0" w:line="240" w:lineRule="auto"/>
            </w:pPr>
            <w:r>
              <w:t xml:space="preserve">Web app — Databricks</w:t>
            </w:r>
          </w:p>
        </w:tc>
        <w:tc>
          <w:tcPr>
            <w:tcW w:w="1700" w:type="pct"/>
          </w:tcPr>
          <w:p>
            <w:pPr>
              <w:spacing w:after="0" w:line="240" w:lineRule="auto"/>
            </w:pPr>
            <w:r>
              <w:t xml:space="preserve">Workspace URL and a personal access token; a SQL warehouse for row counts</w:t>
            </w:r>
          </w:p>
        </w:tc>
        <w:tc>
          <w:tcPr>
            <w:tcW w:w="2100" w:type="pct"/>
          </w:tcPr>
          <w:p>
            <w:pPr>
              <w:spacing w:after="0" w:line="240" w:lineRule="auto"/>
            </w:pPr>
            <w:r>
              <w:t xml:space="preserve">A live pipeline, where checks can be grounded in real COUNT(*) results</w:t>
            </w:r>
          </w:p>
        </w:tc>
      </w:tr>
    </w:tbl>
    <w:p>
      <w:pPr>
        <w:spacing w:after="0" w:line="240" w:lineRule="auto"/>
      </w:pPr>
    </w:p>
    <w:p>
      <w:pPr>
        <w:pStyle w:val="Heading2"/>
      </w:pPr>
      <w:r>
        <w:t xml:space="preserve">What has been built</w:t>
      </w:r>
    </w:p>
    <w:p>
      <w:r>
        <w:t xml:space="preserve">Recon grew flow by flow. Every flow below is mounted and functional; the web UI surfaces the last two, and the rest are reachable over the API and reused as services.</w:t>
      </w:r>
    </w:p>
    <w:tbl>
      <w:tblPr>
        <w:tblStyle w:val="Style1"/>
        <w:tblW w:w="5000" w:type="pct"/>
        <w:tblLook w:val="04A0" w:firstRow="1" w:lastRow="0" w:firstColumn="1" w:lastColumn="0" w:noHBand="0" w:noVBand="1"/>
      </w:tblPr>
      <w:tblGrid>
        <w:gridCol w:w="2975"/>
        <w:gridCol w:w="3372"/>
        <w:gridCol w:w="3570"/>
      </w:tblGrid>
      <w:tr>
        <w:trPr>
          <w:cnfStyle w:val="100000000000" w:firstRow="1" w:lastRow="0" w:firstColumn="0" w:lastColumn="0" w:oddVBand="0" w:evenVBand="0" w:oddHBand="0" w:evenHBand="0" w:firstRowFirstColumn="0" w:firstRowLastColumn="0" w:lastRowFirstColumn="0" w:lastRowLastColumn="0"/>
          <w:tblHeader/>
          <w:trHeight w:val="397"/>
        </w:trPr>
        <w:tc>
          <w:tcPr>
            <w:tcW w:w="1500" w:type="pct"/>
          </w:tcPr>
          <w:p>
            <w:pPr>
              <w:spacing w:after="0" w:line="240" w:lineRule="auto"/>
            </w:pPr>
            <w:r>
              <w:rPr>
                <w:b/>
                <w:color w:val="FFFFFF" w:themeColor="background1"/>
              </w:rPr>
              <w:t xml:space="preserve">Capability</w:t>
            </w:r>
          </w:p>
        </w:tc>
        <w:tc>
          <w:tcPr>
            <w:tcW w:w="1700" w:type="pct"/>
          </w:tcPr>
          <w:p>
            <w:pPr>
              <w:spacing w:after="0" w:line="240" w:lineRule="auto"/>
            </w:pPr>
            <w:r>
              <w:rPr>
                <w:b/>
                <w:color w:val="FFFFFF" w:themeColor="background1"/>
              </w:rPr>
              <w:t xml:space="preserve">Lives in</w:t>
            </w:r>
          </w:p>
        </w:tc>
        <w:tc>
          <w:tcPr>
            <w:tcW w:w="1800" w:type="pct"/>
          </w:tcPr>
          <w:p>
            <w:pPr>
              <w:spacing w:after="0" w:line="240" w:lineRule="auto"/>
            </w:pPr>
            <w:r>
              <w:rPr>
                <w:b/>
                <w:color w:val="FFFFFF" w:themeColor="background1"/>
              </w:rPr>
              <w:t xml:space="preserve">Notes</w:t>
            </w:r>
          </w:p>
        </w:tc>
      </w:tr>
      <w:tr>
        <w:tc>
          <w:tcPr>
            <w:tcW w:w="1500" w:type="pct"/>
          </w:tcPr>
          <w:p>
            <w:pPr>
              <w:spacing w:after="0" w:line="240" w:lineRule="auto"/>
            </w:pPr>
            <w:r>
              <w:t xml:space="preserve">Cross-notebook duplicate detection</w:t>
            </w:r>
          </w:p>
        </w:tc>
        <w:tc>
          <w:tcPr>
            <w:tcW w:w="1700" w:type="pct"/>
          </w:tcPr>
          <w:p>
            <w:pPr>
              <w:spacing w:after="0" w:line="240" w:lineRule="auto"/>
            </w:pPr>
            <w:r>
              <w:rPr>
                <w:rFonts w:ascii="Consolas" w:hAnsi="Consolas" w:cs="Consolas"/>
                <w:sz w:val="17"/>
              </w:rPr>
              <w:t xml:space="preserve">routes/notebooks.ts, routes/reconcile.ts</w:t>
            </w:r>
          </w:p>
        </w:tc>
        <w:tc>
          <w:tcPr>
            <w:tcW w:w="1800" w:type="pct"/>
          </w:tcPr>
          <w:p>
            <w:pPr>
              <w:spacing w:after="0" w:line="240" w:lineRule="auto"/>
            </w:pPr>
            <w:r>
              <w:t xml:space="preserve">Groups likely forks by filename, then diffs their logic rather than their text</w:t>
            </w:r>
          </w:p>
        </w:tc>
      </w:tr>
      <w:tr>
        <w:tc>
          <w:tcPr>
            <w:tcW w:w="1500" w:type="pct"/>
          </w:tcPr>
          <w:p>
            <w:pPr>
              <w:spacing w:after="0" w:line="240" w:lineRule="auto"/>
            </w:pPr>
            <w:r>
              <w:t xml:space="preserve">Medallion stage comparison</w:t>
            </w:r>
          </w:p>
        </w:tc>
        <w:tc>
          <w:tcPr>
            <w:tcW w:w="1700" w:type="pct"/>
          </w:tcPr>
          <w:p>
            <w:pPr>
              <w:spacing w:after="0" w:line="240" w:lineRule="auto"/>
            </w:pPr>
            <w:r>
              <w:rPr>
                <w:rFonts w:ascii="Consolas" w:hAnsi="Consolas" w:cs="Consolas"/>
                <w:sz w:val="17"/>
              </w:rPr>
              <w:t xml:space="preserve">routes/bronzeSilver.ts</w:t>
            </w:r>
          </w:p>
        </w:tc>
        <w:tc>
          <w:tcPr>
            <w:tcW w:w="1800" w:type="pct"/>
          </w:tcPr>
          <w:p>
            <w:pPr>
              <w:spacing w:after="0" w:line="240" w:lineRule="auto"/>
            </w:pPr>
            <w:r>
              <w:t xml:space="preserve">COUNT(*) between same-named tables in adjacent schemas; the model explains a mismatch</w:t>
            </w:r>
          </w:p>
        </w:tc>
      </w:tr>
      <w:tr>
        <w:tc>
          <w:tcPr>
            <w:tcW w:w="1500" w:type="pct"/>
          </w:tcPr>
          <w:p>
            <w:pPr>
              <w:spacing w:after="0" w:line="240" w:lineRule="auto"/>
            </w:pPr>
            <w:r>
              <w:t xml:space="preserve">Table lineage and fan-out discovery</w:t>
            </w:r>
          </w:p>
        </w:tc>
        <w:tc>
          <w:tcPr>
            <w:tcW w:w="1700" w:type="pct"/>
          </w:tcPr>
          <w:p>
            <w:pPr>
              <w:spacing w:after="0" w:line="240" w:lineRule="auto"/>
            </w:pPr>
            <w:r>
              <w:rPr>
                <w:rFonts w:ascii="Consolas" w:hAnsi="Consolas" w:cs="Consolas"/>
                <w:sz w:val="17"/>
              </w:rPr>
              <w:t xml:space="preserve">routes/lineage.ts, services/tableLineage.ts</w:t>
            </w:r>
          </w:p>
        </w:tc>
        <w:tc>
          <w:tcPr>
            <w:tcW w:w="1800" w:type="pct"/>
          </w:tcPr>
          <w:p>
            <w:pPr>
              <w:spacing w:after="0" w:line="240" w:lineRule="auto"/>
            </w:pPr>
            <w:r>
              <w:t xml:space="preserve">Statements tagged by operation, so a source is never confused with a target</w:t>
            </w:r>
          </w:p>
        </w:tc>
      </w:tr>
      <w:tr>
        <w:tc>
          <w:tcPr>
            <w:tcW w:w="1500" w:type="pct"/>
          </w:tcPr>
          <w:p>
            <w:pPr>
              <w:spacing w:after="0" w:line="240" w:lineRule="auto"/>
            </w:pPr>
            <w:r>
              <w:t xml:space="preserve">Intent vs. implementation validation</w:t>
            </w:r>
          </w:p>
        </w:tc>
        <w:tc>
          <w:tcPr>
            <w:tcW w:w="1700" w:type="pct"/>
          </w:tcPr>
          <w:p>
            <w:pPr>
              <w:spacing w:after="0" w:line="240" w:lineRule="auto"/>
            </w:pPr>
            <w:r>
              <w:rPr>
                <w:rFonts w:ascii="Consolas" w:hAnsi="Consolas" w:cs="Consolas"/>
                <w:sz w:val="17"/>
              </w:rPr>
              <w:t xml:space="preserve">routes/validateLogic.ts</w:t>
            </w:r>
          </w:p>
        </w:tc>
        <w:tc>
          <w:tcPr>
            <w:tcW w:w="1800" w:type="pct"/>
          </w:tcPr>
          <w:p>
            <w:pPr>
              <w:spacing w:after="0" w:line="240" w:lineRule="auto"/>
            </w:pPr>
            <w:r>
              <w:t xml:space="preserve">Checks a stated business rule against the code that writes the table</w:t>
            </w:r>
          </w:p>
        </w:tc>
      </w:tr>
      <w:tr>
        <w:tc>
          <w:tcPr>
            <w:tcW w:w="1500" w:type="pct"/>
          </w:tcPr>
          <w:p>
            <w:pPr>
              <w:spacing w:after="0" w:line="240" w:lineRule="auto"/>
            </w:pPr>
            <w:r>
              <w:t xml:space="preserve">Level-by-level reconciliation review</w:t>
            </w:r>
          </w:p>
        </w:tc>
        <w:tc>
          <w:tcPr>
            <w:tcW w:w="1700" w:type="pct"/>
          </w:tcPr>
          <w:p>
            <w:pPr>
              <w:spacing w:after="0" w:line="240" w:lineRule="auto"/>
            </w:pPr>
            <w:r>
              <w:rPr>
                <w:rFonts w:ascii="Consolas" w:hAnsi="Consolas" w:cs="Consolas"/>
                <w:sz w:val="17"/>
              </w:rPr>
              <w:t xml:space="preserve">routes/levels.ts, services/levelAnalysis.ts</w:t>
            </w:r>
          </w:p>
        </w:tc>
        <w:tc>
          <w:tcPr>
            <w:tcW w:w="1800" w:type="pct"/>
          </w:tcPr>
          <w:p>
            <w:pPr>
              <w:spacing w:after="0" w:line="240" w:lineRule="auto"/>
            </w:pPr>
            <w:r>
              <w:t xml:space="preserve">Code-only review per hop; /levels/fixes grounds and verifies fixes against live counts</w:t>
            </w:r>
          </w:p>
        </w:tc>
      </w:tr>
      <w:tr>
        <w:tc>
          <w:tcPr>
            <w:tcW w:w="1500" w:type="pct"/>
          </w:tcPr>
          <w:p>
            <w:pPr>
              <w:spacing w:after="0" w:line="240" w:lineRule="auto"/>
            </w:pPr>
            <w:r>
              <w:t xml:space="preserve">Local SQL folder analysis</w:t>
            </w:r>
          </w:p>
        </w:tc>
        <w:tc>
          <w:tcPr>
            <w:tcW w:w="1700" w:type="pct"/>
          </w:tcPr>
          <w:p>
            <w:pPr>
              <w:spacing w:after="0" w:line="240" w:lineRule="auto"/>
            </w:pPr>
            <w:r>
              <w:rPr>
                <w:rFonts w:ascii="Consolas" w:hAnsi="Consolas" w:cs="Consolas"/>
                <w:sz w:val="17"/>
              </w:rPr>
              <w:t xml:space="preserve">routes/local.ts, client/src/local/</w:t>
            </w:r>
          </w:p>
        </w:tc>
        <w:tc>
          <w:tcPr>
            <w:tcW w:w="1800" w:type="pct"/>
          </w:tcPr>
          <w:p>
            <w:pPr>
              <w:spacing w:after="0" w:line="240" w:lineRule="auto"/>
            </w:pPr>
            <w:r>
              <w:t xml:space="preserve">The offline entry point — no connection, catalog or warehouse involved</w:t>
            </w:r>
          </w:p>
        </w:tc>
      </w:tr>
      <w:tr>
        <w:tc>
          <w:tcPr>
            <w:tcW w:w="1500" w:type="pct"/>
          </w:tcPr>
          <w:p>
            <w:pPr>
              <w:spacing w:after="0" w:line="240" w:lineRule="auto"/>
            </w:pPr>
            <w:r>
              <w:t xml:space="preserve">Reconciliation script generation</w:t>
            </w:r>
          </w:p>
        </w:tc>
        <w:tc>
          <w:tcPr>
            <w:tcW w:w="1700" w:type="pct"/>
          </w:tcPr>
          <w:p>
            <w:pPr>
              <w:spacing w:after="0" w:line="240" w:lineRule="auto"/>
            </w:pPr>
            <w:r>
              <w:rPr>
                <w:rFonts w:ascii="Consolas" w:hAnsi="Consolas" w:cs="Consolas"/>
                <w:sz w:val="17"/>
              </w:rPr>
              <w:t xml:space="preserve">services/reconciliationScripts.ts, reconciliationBundle.ts</w:t>
            </w:r>
          </w:p>
        </w:tc>
        <w:tc>
          <w:tcPr>
            <w:tcW w:w="1800" w:type="pct"/>
          </w:tcPr>
          <w:p>
            <w:pPr>
              <w:spacing w:after="0" w:line="240" w:lineRule="auto"/>
            </w:pPr>
            <w:r>
              <w:t xml:space="preserve">Derived from the columns, no LLM required; the model only adds what the schema cannot</w:t>
            </w:r>
          </w:p>
        </w:tc>
      </w:tr>
      <w:tr>
        <w:tc>
          <w:tcPr>
            <w:tcW w:w="1500" w:type="pct"/>
          </w:tcPr>
          <w:p>
            <w:pPr>
              <w:spacing w:after="0" w:line="240" w:lineRule="auto"/>
            </w:pPr>
            <w:r>
              <w:t xml:space="preserve">The reconcile CLI</w:t>
            </w:r>
          </w:p>
        </w:tc>
        <w:tc>
          <w:tcPr>
            <w:tcW w:w="1700" w:type="pct"/>
          </w:tcPr>
          <w:p>
            <w:pPr>
              <w:spacing w:after="0" w:line="240" w:lineRule="auto"/>
            </w:pPr>
            <w:r>
              <w:rPr>
                <w:rFonts w:ascii="Consolas" w:hAnsi="Consolas" w:cs="Consolas"/>
                <w:sz w:val="17"/>
              </w:rPr>
              <w:t xml:space="preserve">server/src/cli/</w:t>
            </w:r>
          </w:p>
        </w:tc>
        <w:tc>
          <w:tcPr>
            <w:tcW w:w="1800" w:type="pct"/>
          </w:tcPr>
          <w:p>
            <w:pPr>
              <w:spacing w:after="0" w:line="240" w:lineRule="auto"/>
            </w:pPr>
            <w:r>
              <w:t xml:space="preserve">run, scripts, document, diagrams and layers, straight off disk</w:t>
            </w:r>
          </w:p>
        </w:tc>
      </w:tr>
      <w:tr>
        <w:tc>
          <w:tcPr>
            <w:tcW w:w="1500" w:type="pct"/>
          </w:tcPr>
          <w:p>
            <w:pPr>
              <w:spacing w:after="0" w:line="240" w:lineRule="auto"/>
            </w:pPr>
            <w:r>
              <w:t xml:space="preserve">Word document generation</w:t>
            </w:r>
          </w:p>
        </w:tc>
        <w:tc>
          <w:tcPr>
            <w:tcW w:w="1700" w:type="pct"/>
          </w:tcPr>
          <w:p>
            <w:pPr>
              <w:spacing w:after="0" w:line="240" w:lineRule="auto"/>
            </w:pPr>
            <w:r>
              <w:rPr>
                <w:rFonts w:ascii="Consolas" w:hAnsi="Consolas" w:cs="Consolas"/>
                <w:sz w:val="17"/>
              </w:rPr>
              <w:t xml:space="preserve">services/documentation.ts, docModel.ts, docxWriter.ts</w:t>
            </w:r>
          </w:p>
        </w:tc>
        <w:tc>
          <w:tcPr>
            <w:tcW w:w="1800" w:type="pct"/>
          </w:tcPr>
          <w:p>
            <w:pPr>
              <w:spacing w:after="0" w:line="240" w:lineRule="auto"/>
            </w:pPr>
            <w:r>
              <w:t xml:space="preserve">Renders into the branded template; --no-ai yields the same document minus its prose</w:t>
            </w:r>
          </w:p>
        </w:tc>
      </w:tr>
      <w:tr>
        <w:tc>
          <w:tcPr>
            <w:tcW w:w="1500" w:type="pct"/>
          </w:tcPr>
          <w:p>
            <w:pPr>
              <w:spacing w:after="0" w:line="240" w:lineRule="auto"/>
            </w:pPr>
            <w:r>
              <w:t xml:space="preserve">Lineage diagrams as Office shapes</w:t>
            </w:r>
          </w:p>
        </w:tc>
        <w:tc>
          <w:tcPr>
            <w:tcW w:w="1700" w:type="pct"/>
          </w:tcPr>
          <w:p>
            <w:pPr>
              <w:spacing w:after="0" w:line="240" w:lineRule="auto"/>
            </w:pPr>
            <w:r>
              <w:rPr>
                <w:rFonts w:ascii="Consolas" w:hAnsi="Consolas" w:cs="Consolas"/>
                <w:sz w:val="17"/>
              </w:rPr>
              <w:t xml:space="preserve">services/pptxWriter.ts, officeSvg.ts, dagLayout.ts</w:t>
            </w:r>
          </w:p>
        </w:tc>
        <w:tc>
          <w:tcPr>
            <w:tcW w:w="1800" w:type="pct"/>
          </w:tcPr>
          <w:p>
            <w:pPr>
              <w:spacing w:after="0" w:line="240" w:lineRule="auto"/>
            </w:pPr>
            <w:r>
              <w:t xml:space="preserve">Most recent work: curved connectors routed so edges no longer overlap</w:t>
            </w:r>
          </w:p>
        </w:tc>
      </w:tr>
      <w:tr>
        <w:tc>
          <w:tcPr>
            <w:tcW w:w="1500" w:type="pct"/>
          </w:tcPr>
          <w:p>
            <w:pPr>
              <w:spacing w:after="0" w:line="240" w:lineRule="auto"/>
            </w:pPr>
            <w:r>
              <w:t xml:space="preserve">Label-column checks (category_values)</w:t>
            </w:r>
          </w:p>
        </w:tc>
        <w:tc>
          <w:tcPr>
            <w:tcW w:w="1700" w:type="pct"/>
          </w:tcPr>
          <w:p>
            <w:pPr>
              <w:spacing w:after="0" w:line="240" w:lineRule="auto"/>
            </w:pPr>
            <w:r>
              <w:rPr>
                <w:rFonts w:ascii="Consolas" w:hAnsi="Consolas" w:cs="Consolas"/>
                <w:sz w:val="17"/>
              </w:rPr>
              <w:t xml:space="preserve">services/reconciliationScripts.ts, llmClient.ts</w:t>
            </w:r>
          </w:p>
        </w:tc>
        <w:tc>
          <w:tcPr>
            <w:tcW w:w="1800" w:type="pct"/>
          </w:tcPr>
          <w:p>
            <w:pPr>
              <w:spacing w:after="0" w:line="240" w:lineRule="auto"/>
            </w:pPr>
            <w:r>
              <w:t xml:space="preserve">In progress at the time of writing — labels compared as value sets instead of summed</w:t>
            </w:r>
          </w:p>
        </w:tc>
      </w:tr>
    </w:tbl>
    <w:p>
      <w:pPr>
        <w:spacing w:after="0" w:line="240" w:lineRule="auto"/>
      </w:pPr>
    </w:p>
    <w:p>
      <w:r>
        <w:br w:type="page"/>
      </w:r>
    </w:p>
    <w:p>
      <w:pPr>
        <w:pStyle w:val="Heading1"/>
      </w:pPr>
      <w:r>
        <w:t xml:space="preserve">Getting started</w:t>
      </w:r>
    </w:p>
    <w:p>
      <w:pPr>
        <w:pStyle w:val="Heading2"/>
      </w:pPr>
      <w:r>
        <w:t xml:space="preserve">Prerequisites</w:t>
      </w:r>
    </w:p>
    <w:tbl>
      <w:tblPr>
        <w:tblStyle w:val="Style1"/>
        <w:tblW w:w="5000" w:type="pct"/>
        <w:tblLook w:val="04A0" w:firstRow="1" w:lastRow="0" w:firstColumn="1" w:lastColumn="0" w:noHBand="0" w:noVBand="1"/>
      </w:tblPr>
      <w:tblGrid>
        <w:gridCol w:w="2579"/>
        <w:gridCol w:w="3174"/>
        <w:gridCol w:w="4166"/>
      </w:tblGrid>
      <w:tr>
        <w:trPr>
          <w:cnfStyle w:val="100000000000" w:firstRow="1" w:lastRow="0" w:firstColumn="0" w:lastColumn="0" w:oddVBand="0" w:evenVBand="0" w:oddHBand="0" w:evenHBand="0" w:firstRowFirstColumn="0" w:firstRowLastColumn="0" w:lastRowFirstColumn="0" w:lastRowLastColumn="0"/>
          <w:tblHeader/>
          <w:trHeight w:val="397"/>
        </w:trPr>
        <w:tc>
          <w:tcPr>
            <w:tcW w:w="1300" w:type="pct"/>
          </w:tcPr>
          <w:p>
            <w:pPr>
              <w:spacing w:after="0" w:line="240" w:lineRule="auto"/>
            </w:pPr>
            <w:r>
              <w:rPr>
                <w:b/>
                <w:color w:val="FFFFFF" w:themeColor="background1"/>
              </w:rPr>
              <w:t xml:space="preserve">Requirement</w:t>
            </w:r>
          </w:p>
        </w:tc>
        <w:tc>
          <w:tcPr>
            <w:tcW w:w="1600" w:type="pct"/>
          </w:tcPr>
          <w:p>
            <w:pPr>
              <w:spacing w:after="0" w:line="240" w:lineRule="auto"/>
            </w:pPr>
            <w:r>
              <w:rPr>
                <w:b/>
                <w:color w:val="FFFFFF" w:themeColor="background1"/>
              </w:rPr>
              <w:t xml:space="preserve">Needed for</w:t>
            </w:r>
          </w:p>
        </w:tc>
        <w:tc>
          <w:tcPr>
            <w:tcW w:w="2100" w:type="pct"/>
          </w:tcPr>
          <w:p>
            <w:pPr>
              <w:spacing w:after="0" w:line="240" w:lineRule="auto"/>
            </w:pPr>
            <w:r>
              <w:rPr>
                <w:b/>
                <w:color w:val="FFFFFF" w:themeColor="background1"/>
              </w:rPr>
              <w:t xml:space="preserve">Notes</w:t>
            </w:r>
          </w:p>
        </w:tc>
      </w:tr>
      <w:tr>
        <w:tc>
          <w:tcPr>
            <w:tcW w:w="1300" w:type="pct"/>
          </w:tcPr>
          <w:p>
            <w:pPr>
              <w:spacing w:after="0" w:line="240" w:lineRule="auto"/>
            </w:pPr>
            <w:r>
              <w:t xml:space="preserve">Node.js 20.19+ (22 LTS recommended)</w:t>
            </w:r>
          </w:p>
        </w:tc>
        <w:tc>
          <w:tcPr>
            <w:tcW w:w="1600" w:type="pct"/>
          </w:tcPr>
          <w:p>
            <w:pPr>
              <w:spacing w:after="0" w:line="240" w:lineRule="auto"/>
            </w:pPr>
            <w:r>
              <w:t xml:space="preserve">Everything</w:t>
            </w:r>
          </w:p>
        </w:tc>
        <w:tc>
          <w:tcPr>
            <w:tcW w:w="2100" w:type="pct"/>
          </w:tcPr>
          <w:p>
            <w:pPr>
              <w:spacing w:after="0" w:line="240" w:lineRule="auto"/>
            </w:pPr>
            <w:r>
              <w:t xml:space="preserve">Vite 8 sets the floor; the server is ESM with NodeNext resolution</w:t>
            </w:r>
          </w:p>
        </w:tc>
      </w:tr>
      <w:tr>
        <w:tc>
          <w:tcPr>
            <w:tcW w:w="1300" w:type="pct"/>
          </w:tcPr>
          <w:p>
            <w:pPr>
              <w:spacing w:after="0" w:line="240" w:lineRule="auto"/>
            </w:pPr>
            <w:r>
              <w:t xml:space="preserve">npm</w:t>
            </w:r>
          </w:p>
        </w:tc>
        <w:tc>
          <w:tcPr>
            <w:tcW w:w="1600" w:type="pct"/>
          </w:tcPr>
          <w:p>
            <w:pPr>
              <w:spacing w:after="0" w:line="240" w:lineRule="auto"/>
            </w:pPr>
            <w:r>
              <w:t xml:space="preserve">Everything</w:t>
            </w:r>
          </w:p>
        </w:tc>
        <w:tc>
          <w:tcPr>
            <w:tcW w:w="2100" w:type="pct"/>
          </w:tcPr>
          <w:p>
            <w:pPr>
              <w:spacing w:after="0" w:line="240" w:lineRule="auto"/>
            </w:pPr>
            <w:r>
              <w:t xml:space="preserve">Two separate installs — there is no root workspace</w:t>
            </w:r>
          </w:p>
        </w:tc>
      </w:tr>
      <w:tr>
        <w:tc>
          <w:tcPr>
            <w:tcW w:w="1300" w:type="pct"/>
          </w:tcPr>
          <w:p>
            <w:pPr>
              <w:spacing w:after="0" w:line="240" w:lineRule="auto"/>
            </w:pPr>
            <w:r>
              <w:t xml:space="preserve">Azure OpenAI deployment</w:t>
            </w:r>
          </w:p>
        </w:tc>
        <w:tc>
          <w:tcPr>
            <w:tcW w:w="1600" w:type="pct"/>
          </w:tcPr>
          <w:p>
            <w:pPr>
              <w:spacing w:after="0" w:line="240" w:lineRule="auto"/>
            </w:pPr>
            <w:r>
              <w:t xml:space="preserve">The reviewer model and every /analyze endpoint</w:t>
            </w:r>
          </w:p>
        </w:tc>
        <w:tc>
          <w:tcPr>
            <w:tcW w:w="2100" w:type="pct"/>
          </w:tcPr>
          <w:p>
            <w:pPr>
              <w:spacing w:after="0" w:line="240" w:lineRule="auto"/>
            </w:pPr>
            <w:r>
              <w:t xml:space="preserve">Optional. Without it, every derived check and diagram still works</w:t>
            </w:r>
          </w:p>
        </w:tc>
      </w:tr>
      <w:tr>
        <w:tc>
          <w:tcPr>
            <w:tcW w:w="1300" w:type="pct"/>
          </w:tcPr>
          <w:p>
            <w:pPr>
              <w:spacing w:after="0" w:line="240" w:lineRule="auto"/>
            </w:pPr>
            <w:r>
              <w:t xml:space="preserve">Databricks workspace + PAT</w:t>
            </w:r>
          </w:p>
        </w:tc>
        <w:tc>
          <w:tcPr>
            <w:tcW w:w="1600" w:type="pct"/>
          </w:tcPr>
          <w:p>
            <w:pPr>
              <w:spacing w:after="0" w:line="240" w:lineRule="auto"/>
            </w:pPr>
            <w:r>
              <w:t xml:space="preserve">Flows 1–5 in the web app</w:t>
            </w:r>
          </w:p>
        </w:tc>
        <w:tc>
          <w:tcPr>
            <w:tcW w:w="2100" w:type="pct"/>
          </w:tcPr>
          <w:p>
            <w:pPr>
              <w:spacing w:after="0" w:line="240" w:lineRule="auto"/>
            </w:pPr>
            <w:r>
              <w:t xml:space="preserve">Optional. The local-folder flow and the whole CLI never touch it</w:t>
            </w:r>
          </w:p>
        </w:tc>
      </w:tr>
      <w:tr>
        <w:tc>
          <w:tcPr>
            <w:tcW w:w="1300" w:type="pct"/>
          </w:tcPr>
          <w:p>
            <w:pPr>
              <w:spacing w:after="0" w:line="240" w:lineRule="auto"/>
            </w:pPr>
            <w:r>
              <w:t xml:space="preserve">A Databricks SQL warehouse</w:t>
            </w:r>
          </w:p>
        </w:tc>
        <w:tc>
          <w:tcPr>
            <w:tcW w:w="1600" w:type="pct"/>
          </w:tcPr>
          <w:p>
            <w:pPr>
              <w:spacing w:after="0" w:line="240" w:lineRule="auto"/>
            </w:pPr>
            <w:r>
              <w:t xml:space="preserve">Row counts and fix verification</w:t>
            </w:r>
          </w:p>
        </w:tc>
        <w:tc>
          <w:tcPr>
            <w:tcW w:w="2100" w:type="pct"/>
          </w:tcPr>
          <w:p>
            <w:pPr>
              <w:spacing w:after="0" w:line="240" w:lineRule="auto"/>
            </w:pPr>
            <w:r>
              <w:t xml:space="preserve">Optional even within the Databricks flows — /levels/* works code-only without one</w:t>
            </w:r>
          </w:p>
        </w:tc>
      </w:tr>
    </w:tbl>
    <w:p>
      <w:pPr>
        <w:spacing w:after="0" w:line="240" w:lineRule="auto"/>
      </w:pPr>
    </w:p>
    <w:p>
      <w:pPr>
        <w:pStyle w:val="Heading2"/>
      </w:pPr>
      <w:r>
        <w:t xml:space="preserve">Install</w:t>
      </w:r>
    </w:p>
    <w:p>
      <w:r>
        <w:t xml:space="preserve">The repository is two separately-installed sibling projects, server and client. There is no root workspace configuration, so plain npm install at the root installs only the root devDependency.</w:t>
      </w:r>
    </w:p>
    <w:p>
      <w:pPr>
        <w:spacing w:after="0" w:line="240" w:lineRule="auto"/>
        <w:shd w:val="clear" w:color="auto" w:fill="F4F4F6"/>
        <w:ind w:left="113" w:right="113"/>
      </w:pPr>
      <w:r>
        <w:rPr>
          <w:rFonts w:ascii="Consolas" w:hAnsi="Consolas" w:cs="Consolas"/>
          <w:sz w:val="17"/>
        </w:rPr>
        <w:t xml:space="preserve">git clone &lt;repo-url&gt;</w:t>
      </w:r>
      <w:r>
        <w:rPr>
          <w:rFonts w:ascii="Consolas" w:hAnsi="Consolas" w:cs="Consolas"/>
          <w:sz w:val="17"/>
        </w:rPr>
        <w:br/>
        <w:t xml:space="preserve">cd recon</w:t>
      </w:r>
      <w:r>
        <w:rPr>
          <w:rFonts w:ascii="Consolas" w:hAnsi="Consolas" w:cs="Consolas"/>
          <w:sz w:val="17"/>
        </w:rPr>
        <w:br/>
        <w:t xml:space="preserve">npm run install:all</w:t>
      </w:r>
    </w:p>
    <w:p>
      <w:pPr>
        <w:pStyle w:val="Heading2"/>
      </w:pPr>
      <w:r>
        <w:t xml:space="preserve">Configure</w:t>
      </w:r>
    </w:p>
    <w:p>
      <w:r>
        <w:t xml:space="preserve">Copy the example environment file and fill in the Azure OpenAI settings. Only the LLM-backed endpoints need it; the rest of the app runs without.</w:t>
      </w:r>
    </w:p>
    <w:p>
      <w:pPr>
        <w:spacing w:after="0" w:line="240" w:lineRule="auto"/>
        <w:shd w:val="clear" w:color="auto" w:fill="F4F4F6"/>
        <w:ind w:left="113" w:right="113"/>
      </w:pPr>
      <w:r>
        <w:rPr>
          <w:rFonts w:ascii="Consolas" w:hAnsi="Consolas" w:cs="Consolas"/>
          <w:sz w:val="17"/>
        </w:rPr>
        <w:t xml:space="preserve">cp server/.env.example server/.env</w:t>
      </w:r>
      <w:r>
        <w:rPr>
          <w:rFonts w:ascii="Consolas" w:hAnsi="Consolas" w:cs="Consolas"/>
          <w:sz w:val="17"/>
        </w:rPr>
        <w:br/>
        <w:t xml:space="preserve"/>
      </w:r>
      <w:r>
        <w:rPr>
          <w:rFonts w:ascii="Consolas" w:hAnsi="Consolas" w:cs="Consolas"/>
          <w:sz w:val="17"/>
        </w:rPr>
        <w:br/>
        <w:t xml:space="preserve"># server/.env</w:t>
      </w:r>
      <w:r>
        <w:rPr>
          <w:rFonts w:ascii="Consolas" w:hAnsi="Consolas" w:cs="Consolas"/>
          <w:sz w:val="17"/>
        </w:rPr>
        <w:br/>
        <w:t xml:space="preserve">PORT=4000</w:t>
      </w:r>
      <w:r>
        <w:rPr>
          <w:rFonts w:ascii="Consolas" w:hAnsi="Consolas" w:cs="Consolas"/>
          <w:sz w:val="17"/>
        </w:rPr>
        <w:br/>
        <w:t xml:space="preserve">AZURE_OPENAI_ENDPOINT=https://your-foundry.openai.azure.com/</w:t>
      </w:r>
      <w:r>
        <w:rPr>
          <w:rFonts w:ascii="Consolas" w:hAnsi="Consolas" w:cs="Consolas"/>
          <w:sz w:val="17"/>
        </w:rPr>
        <w:br/>
        <w:t xml:space="preserve">AZURE_OPENAI_API_KEY=...</w:t>
      </w:r>
      <w:r>
        <w:rPr>
          <w:rFonts w:ascii="Consolas" w:hAnsi="Consolas" w:cs="Consolas"/>
          <w:sz w:val="17"/>
        </w:rPr>
        <w:br/>
        <w:t xml:space="preserve">AZURE_OPENAI_DEPLOYMENT=your-deployment-name</w:t>
      </w:r>
    </w:p>
    <w:p>
      <w:r>
        <w:t xml:space="preserve">The server resolves .env relative to its own source file rather than the working directory, so it loads the same way however the process is started. The CLI resolves it differently — see the configuration reference.</w:t>
      </w:r>
    </w:p>
    <w:p>
      <w:pPr>
        <w:pStyle w:val="Heading2"/>
      </w:pPr>
      <w:r>
        <w:t xml:space="preserve">Run the web app</w:t>
      </w:r>
    </w:p>
    <w:p>
      <w:pPr>
        <w:spacing w:after="0" w:line="240" w:lineRule="auto"/>
        <w:shd w:val="clear" w:color="auto" w:fill="F4F4F6"/>
        <w:ind w:left="113" w:right="113"/>
      </w:pPr>
      <w:r>
        <w:rPr>
          <w:rFonts w:ascii="Consolas" w:hAnsi="Consolas" w:cs="Consolas"/>
          <w:sz w:val="17"/>
        </w:rPr>
        <w:t xml:space="preserve">npm run dev</w:t>
      </w:r>
    </w:p>
    <w:p>
      <w:r>
        <w:t xml:space="preserve">That starts both halves: the API on http://localhost:4000 (or PORT) and the Vite dev server, which proxies /api/* to it. Open the URL Vite prints. GET /api/health returns { ok: true } if the server is up.</w:t>
      </w:r>
    </w:p>
    <w:p>
      <w:pPr>
        <w:pStyle w:val="Heading2"/>
      </w:pPr>
      <w:r>
        <w:t xml:space="preserve">Run the CLI</w:t>
      </w:r>
    </w:p>
    <w:p>
      <w:r>
        <w:t xml:space="preserve">From the server folder, against any folder of SQL on disk:</w:t>
      </w:r>
    </w:p>
    <w:p>
      <w:pPr>
        <w:spacing w:after="0" w:line="240" w:lineRule="auto"/>
        <w:shd w:val="clear" w:color="auto" w:fill="F4F4F6"/>
        <w:ind w:left="113" w:right="113"/>
      </w:pPr>
      <w:r>
        <w:rPr>
          <w:rFonts w:ascii="Consolas" w:hAnsi="Consolas" w:cs="Consolas"/>
          <w:sz w:val="17"/>
        </w:rPr>
        <w:t xml:space="preserve">cd server</w:t>
      </w:r>
      <w:r>
        <w:rPr>
          <w:rFonts w:ascii="Consolas" w:hAnsi="Consolas" w:cs="Consolas"/>
          <w:sz w:val="17"/>
        </w:rPr>
        <w:br/>
        <w:t xml:space="preserve">npm run cli -- run --dir "C:\projects\my-warehouse"</w:t>
      </w:r>
    </w:p>
    <w:p>
      <w:r>
        <w:t xml:space="preserve">Or build once and install it as a global binary, which is how it is meant to be used day to day:</w:t>
      </w:r>
    </w:p>
    <w:p>
      <w:pPr>
        <w:spacing w:after="0" w:line="240" w:lineRule="auto"/>
        <w:shd w:val="clear" w:color="auto" w:fill="F4F4F6"/>
        <w:ind w:left="113" w:right="113"/>
      </w:pPr>
      <w:r>
        <w:rPr>
          <w:rFonts w:ascii="Consolas" w:hAnsi="Consolas" w:cs="Consolas"/>
          <w:sz w:val="17"/>
        </w:rPr>
        <w:t xml:space="preserve">npm run build --prefix server</w:t>
      </w:r>
      <w:r>
        <w:rPr>
          <w:rFonts w:ascii="Consolas" w:hAnsi="Consolas" w:cs="Consolas"/>
          <w:sz w:val="17"/>
        </w:rPr>
        <w:br/>
        <w:t xml:space="preserve">npm install -g ./server</w:t>
      </w:r>
      <w:r>
        <w:rPr>
          <w:rFonts w:ascii="Consolas" w:hAnsi="Consolas" w:cs="Consolas"/>
          <w:sz w:val="17"/>
        </w:rPr>
        <w:br/>
        <w:t xml:space="preserve"/>
      </w:r>
      <w:r>
        <w:rPr>
          <w:rFonts w:ascii="Consolas" w:hAnsi="Consolas" w:cs="Consolas"/>
          <w:sz w:val="17"/>
        </w:rPr>
        <w:br/>
        <w:t xml:space="preserve">cd /projects/my-warehouse</w:t>
      </w:r>
      <w:r>
        <w:rPr>
          <w:rFonts w:ascii="Consolas" w:hAnsi="Consolas" w:cs="Consolas"/>
          <w:sz w:val="17"/>
        </w:rPr>
        <w:br/>
        <w:t xml:space="preserve">reconcile run</w:t>
      </w:r>
    </w:p>
    <w:p>
      <w:pPr>
        <w:pStyle w:val="Heading2"/>
      </w:pPr>
      <w:r>
        <w:t xml:space="preserve">First-run troubleshooting</w:t>
      </w:r>
    </w:p>
    <w:tbl>
      <w:tblPr>
        <w:tblStyle w:val="Style1"/>
        <w:tblW w:w="5000" w:type="pct"/>
        <w:tblLook w:val="04A0" w:firstRow="1" w:lastRow="0" w:firstColumn="1" w:lastColumn="0" w:noHBand="0" w:noVBand="1"/>
      </w:tblPr>
      <w:tblGrid>
        <w:gridCol w:w="2975"/>
        <w:gridCol w:w="3273"/>
        <w:gridCol w:w="3670"/>
      </w:tblGrid>
      <w:tr>
        <w:trPr>
          <w:cnfStyle w:val="100000000000" w:firstRow="1" w:lastRow="0" w:firstColumn="0" w:lastColumn="0" w:oddVBand="0" w:evenVBand="0" w:oddHBand="0" w:evenHBand="0" w:firstRowFirstColumn="0" w:firstRowLastColumn="0" w:lastRowFirstColumn="0" w:lastRowLastColumn="0"/>
          <w:tblHeader/>
          <w:trHeight w:val="397"/>
        </w:trPr>
        <w:tc>
          <w:tcPr>
            <w:tcW w:w="1500" w:type="pct"/>
          </w:tcPr>
          <w:p>
            <w:pPr>
              <w:spacing w:after="0" w:line="240" w:lineRule="auto"/>
            </w:pPr>
            <w:r>
              <w:rPr>
                <w:b/>
                <w:color w:val="FFFFFF" w:themeColor="background1"/>
              </w:rPr>
              <w:t xml:space="preserve">Symptom</w:t>
            </w:r>
          </w:p>
        </w:tc>
        <w:tc>
          <w:tcPr>
            <w:tcW w:w="1650" w:type="pct"/>
          </w:tcPr>
          <w:p>
            <w:pPr>
              <w:spacing w:after="0" w:line="240" w:lineRule="auto"/>
            </w:pPr>
            <w:r>
              <w:rPr>
                <w:b/>
                <w:color w:val="FFFFFF" w:themeColor="background1"/>
              </w:rPr>
              <w:t xml:space="preserve">Cause</w:t>
            </w:r>
          </w:p>
        </w:tc>
        <w:tc>
          <w:tcPr>
            <w:tcW w:w="1850" w:type="pct"/>
          </w:tcPr>
          <w:p>
            <w:pPr>
              <w:spacing w:after="0" w:line="240" w:lineRule="auto"/>
            </w:pPr>
            <w:r>
              <w:rPr>
                <w:b/>
                <w:color w:val="FFFFFF" w:themeColor="background1"/>
              </w:rPr>
              <w:t xml:space="preserve">Fix</w:t>
            </w:r>
          </w:p>
        </w:tc>
      </w:tr>
      <w:tr>
        <w:tc>
          <w:tcPr>
            <w:tcW w:w="1500" w:type="pct"/>
          </w:tcPr>
          <w:p>
            <w:pPr>
              <w:spacing w:after="0" w:line="240" w:lineRule="auto"/>
            </w:pPr>
            <w:r>
              <w:t xml:space="preserve">"No .sql files or notebooks found"</w:t>
            </w:r>
          </w:p>
        </w:tc>
        <w:tc>
          <w:tcPr>
            <w:tcW w:w="1650" w:type="pct"/>
          </w:tcPr>
          <w:p>
            <w:pPr>
              <w:spacing w:after="0" w:line="240" w:lineRule="auto"/>
            </w:pPr>
            <w:r>
              <w:t xml:space="preserve">--dir points somewhere else, or every file was filtered out</w:t>
            </w:r>
          </w:p>
        </w:tc>
        <w:tc>
          <w:tcPr>
            <w:tcW w:w="1850" w:type="pct"/>
          </w:tcPr>
          <w:p>
            <w:pPr>
              <w:spacing w:after="0" w:line="240" w:lineRule="auto"/>
            </w:pPr>
            <w:r>
              <w:t xml:space="preserve">Check the path; raise --max-files; drop --no-notebooks if the source is notebooks</w:t>
            </w:r>
          </w:p>
        </w:tc>
      </w:tr>
      <w:tr>
        <w:tc>
          <w:tcPr>
            <w:tcW w:w="1500" w:type="pct"/>
          </w:tcPr>
          <w:p>
            <w:pPr>
              <w:spacing w:after="0" w:line="240" w:lineRule="auto"/>
            </w:pPr>
            <w:r>
              <w:t xml:space="preserve">Scripts say they are the standard schema-derived checks only</w:t>
            </w:r>
          </w:p>
        </w:tc>
        <w:tc>
          <w:tcPr>
            <w:tcW w:w="1650" w:type="pct"/>
          </w:tcPr>
          <w:p>
            <w:pPr>
              <w:spacing w:after="0" w:line="240" w:lineRule="auto"/>
            </w:pPr>
            <w:r>
              <w:t xml:space="preserve">Azure OpenAI is not configured, or the call failed</w:t>
            </w:r>
          </w:p>
        </w:tc>
        <w:tc>
          <w:tcPr>
            <w:tcW w:w="1850" w:type="pct"/>
          </w:tcPr>
          <w:p>
            <w:pPr>
              <w:spacing w:after="0" w:line="240" w:lineRule="auto"/>
            </w:pPr>
            <w:r>
              <w:t xml:space="preserve">Set AZURE_OPENAI_* in .env, or accept it — the derived checks are the grounded ones</w:t>
            </w:r>
          </w:p>
        </w:tc>
      </w:tr>
      <w:tr>
        <w:tc>
          <w:tcPr>
            <w:tcW w:w="1500" w:type="pct"/>
          </w:tcPr>
          <w:p>
            <w:pPr>
              <w:spacing w:after="0" w:line="240" w:lineRule="auto"/>
            </w:pPr>
            <w:r>
              <w:t xml:space="preserve">reconcile document wrote only the .md</w:t>
            </w:r>
          </w:p>
        </w:tc>
        <w:tc>
          <w:tcPr>
            <w:tcW w:w="1650" w:type="pct"/>
          </w:tcPr>
          <w:p>
            <w:pPr>
              <w:spacing w:after="0" w:line="240" w:lineRule="auto"/>
            </w:pPr>
            <w:r>
              <w:t xml:space="preserve">No Word template was found</w:t>
            </w:r>
          </w:p>
        </w:tc>
        <w:tc>
          <w:tcPr>
            <w:tcW w:w="1850" w:type="pct"/>
          </w:tcPr>
          <w:p>
            <w:pPr>
              <w:spacing w:after="0" w:line="240" w:lineRule="auto"/>
            </w:pPr>
            <w:r>
              <w:t xml:space="preserve">"Document Title.docx" is in .gitignore, so a fresh clone has none — see the note below</w:t>
            </w:r>
          </w:p>
        </w:tc>
      </w:tr>
      <w:tr>
        <w:tc>
          <w:tcPr>
            <w:tcW w:w="1500" w:type="pct"/>
          </w:tcPr>
          <w:p>
            <w:pPr>
              <w:spacing w:after="0" w:line="240" w:lineRule="auto"/>
            </w:pPr>
            <w:r>
              <w:t xml:space="preserve">The .docx table of contents is empty</w:t>
            </w:r>
          </w:p>
        </w:tc>
        <w:tc>
          <w:tcPr>
            <w:tcW w:w="1650" w:type="pct"/>
          </w:tcPr>
          <w:p>
            <w:pPr>
              <w:spacing w:after="0" w:line="240" w:lineRule="auto"/>
            </w:pPr>
            <w:r>
              <w:t xml:space="preserve">Word has not refreshed its fields yet</w:t>
            </w:r>
          </w:p>
        </w:tc>
        <w:tc>
          <w:tcPr>
            <w:tcW w:w="1850" w:type="pct"/>
          </w:tcPr>
          <w:p>
            <w:pPr>
              <w:spacing w:after="0" w:line="240" w:lineRule="auto"/>
            </w:pPr>
            <w:r>
              <w:t xml:space="preserve">It refreshes on open; otherwise press Ctrl+A then F9</w:t>
            </w:r>
          </w:p>
        </w:tc>
      </w:tr>
      <w:tr>
        <w:tc>
          <w:tcPr>
            <w:tcW w:w="1500" w:type="pct"/>
          </w:tcPr>
          <w:p>
            <w:pPr>
              <w:spacing w:after="0" w:line="240" w:lineRule="auto"/>
            </w:pPr>
            <w:r>
              <w:t xml:space="preserve">409 from an /api/ route</w:t>
            </w:r>
          </w:p>
        </w:tc>
        <w:tc>
          <w:tcPr>
            <w:tcW w:w="1650" w:type="pct"/>
          </w:tcPr>
          <w:p>
            <w:pPr>
              <w:spacing w:after="0" w:line="240" w:lineRule="auto"/>
            </w:pPr>
            <w:r>
              <w:t xml:space="preserve">Not connected to Databricks, or no folder uploaded</w:t>
            </w:r>
          </w:p>
        </w:tc>
        <w:tc>
          <w:tcPr>
            <w:tcW w:w="1850" w:type="pct"/>
          </w:tcPr>
          <w:p>
            <w:pPr>
              <w:spacing w:after="0" w:line="240" w:lineRule="auto"/>
            </w:pPr>
            <w:r>
              <w:t xml:space="preserve">Connect first, or POST /api/local/scan before the local routes</w:t>
            </w:r>
          </w:p>
        </w:tc>
      </w:tr>
      <w:tr>
        <w:tc>
          <w:tcPr>
            <w:tcW w:w="1500" w:type="pct"/>
          </w:tcPr>
          <w:p>
            <w:pPr>
              <w:spacing w:after="0" w:line="240" w:lineRule="auto"/>
            </w:pPr>
            <w:r>
              <w:t xml:space="preserve">503 from /api/levels/* or /api/local/governance</w:t>
            </w:r>
          </w:p>
        </w:tc>
        <w:tc>
          <w:tcPr>
            <w:tcW w:w="1650" w:type="pct"/>
          </w:tcPr>
          <w:p>
            <w:pPr>
              <w:spacing w:after="0" w:line="240" w:lineRule="auto"/>
            </w:pPr>
            <w:r>
              <w:t xml:space="preserve">Azure OpenAI is not configured</w:t>
            </w:r>
          </w:p>
        </w:tc>
        <w:tc>
          <w:tcPr>
            <w:tcW w:w="1850" w:type="pct"/>
          </w:tcPr>
          <w:p>
            <w:pPr>
              <w:spacing w:after="0" w:line="240" w:lineRule="auto"/>
            </w:pPr>
            <w:r>
              <w:t xml:space="preserve">Set AZURE_OPENAI_* in server/.env and restart the server</w:t>
            </w:r>
          </w:p>
        </w:tc>
      </w:tr>
    </w:tbl>
    <w:p>
      <w:pPr>
        <w:spacing w:after="0" w:line="240" w:lineRule="auto"/>
      </w:pPr>
    </w:p>
    <w:p>
      <w:pPr>
        <w:pStyle w:val="Quote"/>
      </w:pPr>
      <w:r>
        <w:t xml:space="preserve">Setup note: .gitignore excludes "Document Title.docx" at every level, which covers both the copy at the repository root and the one bundled at server/templates/. A fresh clone therefore has no template, and reconcile document degrades to Markdown-only until you drop the template back in or pass --template. The same applies to server/test, which is also gitignored.</w:t>
      </w:r>
    </w:p>
    <w:p>
      <w:r>
        <w:br w:type="page"/>
      </w:r>
    </w:p>
    <w:p>
      <w:pPr>
        <w:pStyle w:val="Heading1"/>
      </w:pPr>
      <w:r>
        <w:t xml:space="preserve">The reconcile command line</w:t>
      </w:r>
    </w:p>
    <w:p>
      <w:r>
        <w:t xml:space="preserve">reconcile is flow 6 taken off the browser: it scans a folder, works out the layers and the lineage, and writes the reconciliation, the write-up and the diagrams straight back to disk. No server runs and nothing is uploaded.</w:t>
      </w:r>
    </w:p>
    <w:p>
      <w:pPr>
        <w:pStyle w:val="Heading2"/>
      </w:pPr>
      <w:r>
        <w:t xml:space="preserve">Commands</w:t>
      </w:r>
    </w:p>
    <w:tbl>
      <w:tblPr>
        <w:tblStyle w:val="Style1"/>
        <w:tblW w:w="5000" w:type="pct"/>
        <w:tblLook w:val="04A0" w:firstRow="1" w:lastRow="0" w:firstColumn="1" w:lastColumn="0" w:noHBand="0" w:noVBand="1"/>
      </w:tblPr>
      <w:tblGrid>
        <w:gridCol w:w="1587"/>
        <w:gridCol w:w="5356"/>
        <w:gridCol w:w="2975"/>
      </w:tblGrid>
      <w:tr>
        <w:trPr>
          <w:cnfStyle w:val="100000000000" w:firstRow="1" w:lastRow="0" w:firstColumn="0" w:lastColumn="0" w:oddVBand="0" w:evenVBand="0" w:oddHBand="0" w:evenHBand="0" w:firstRowFirstColumn="0" w:firstRowLastColumn="0" w:lastRowFirstColumn="0" w:lastRowLastColumn="0"/>
          <w:tblHeader/>
          <w:trHeight w:val="397"/>
        </w:trPr>
        <w:tc>
          <w:tcPr>
            <w:tcW w:w="800" w:type="pct"/>
          </w:tcPr>
          <w:p>
            <w:pPr>
              <w:spacing w:after="0" w:line="240" w:lineRule="auto"/>
            </w:pPr>
            <w:r>
              <w:rPr>
                <w:b/>
                <w:color w:val="FFFFFF" w:themeColor="background1"/>
              </w:rPr>
              <w:t xml:space="preserve">Command</w:t>
            </w:r>
          </w:p>
        </w:tc>
        <w:tc>
          <w:tcPr>
            <w:tcW w:w="2700" w:type="pct"/>
          </w:tcPr>
          <w:p>
            <w:pPr>
              <w:spacing w:after="0" w:line="240" w:lineRule="auto"/>
            </w:pPr>
            <w:r>
              <w:rPr>
                <w:b/>
                <w:color w:val="FFFFFF" w:themeColor="background1"/>
              </w:rPr>
              <w:t xml:space="preserve">What it does</w:t>
            </w:r>
          </w:p>
        </w:tc>
        <w:tc>
          <w:tcPr>
            <w:tcW w:w="1500" w:type="pct"/>
          </w:tcPr>
          <w:p>
            <w:pPr>
              <w:spacing w:after="0" w:line="240" w:lineRule="auto"/>
            </w:pPr>
            <w:r>
              <w:rPr>
                <w:b/>
                <w:color w:val="FFFFFF" w:themeColor="background1"/>
              </w:rPr>
              <w:t xml:space="preserve">Writes into</w:t>
            </w:r>
          </w:p>
        </w:tc>
      </w:tr>
      <w:tr>
        <w:tc>
          <w:tcPr>
            <w:tcW w:w="800" w:type="pct"/>
          </w:tcPr>
          <w:p>
            <w:pPr>
              <w:spacing w:after="0" w:line="240" w:lineRule="auto"/>
            </w:pPr>
            <w:r>
              <w:rPr>
                <w:rFonts w:ascii="Consolas" w:hAnsi="Consolas" w:cs="Consolas"/>
                <w:sz w:val="17"/>
              </w:rPr>
              <w:t xml:space="preserve">reconcile run</w:t>
            </w:r>
          </w:p>
        </w:tc>
        <w:tc>
          <w:tcPr>
            <w:tcW w:w="2700" w:type="pct"/>
          </w:tcPr>
          <w:p>
            <w:pPr>
              <w:spacing w:after="0" w:line="240" w:lineRule="auto"/>
            </w:pPr>
            <w:r>
              <w:t xml:space="preserve">The whole pass: layers, lineage, a confirmation gate, then the scripts — and the document if you say yes</w:t>
            </w:r>
          </w:p>
        </w:tc>
        <w:tc>
          <w:tcPr>
            <w:tcW w:w="1500" w:type="pct"/>
          </w:tcPr>
          <w:p>
            <w:pPr>
              <w:spacing w:after="0" w:line="240" w:lineRule="auto"/>
            </w:pPr>
            <w:r>
              <w:rPr>
                <w:rFonts w:ascii="Consolas" w:hAnsi="Consolas" w:cs="Consolas"/>
                <w:sz w:val="17"/>
              </w:rPr>
              <w:t xml:space="preserve">lineage/, governance/, documentation/</w:t>
            </w:r>
          </w:p>
        </w:tc>
      </w:tr>
      <w:tr>
        <w:tc>
          <w:tcPr>
            <w:tcW w:w="800" w:type="pct"/>
          </w:tcPr>
          <w:p>
            <w:pPr>
              <w:spacing w:after="0" w:line="240" w:lineRule="auto"/>
            </w:pPr>
            <w:r>
              <w:rPr>
                <w:rFonts w:ascii="Consolas" w:hAnsi="Consolas" w:cs="Consolas"/>
                <w:sz w:val="17"/>
              </w:rPr>
              <w:t xml:space="preserve">reconcile scripts</w:t>
            </w:r>
          </w:p>
        </w:tc>
        <w:tc>
          <w:tcPr>
            <w:tcW w:w="2700" w:type="pct"/>
          </w:tcPr>
          <w:p>
            <w:pPr>
              <w:spacing w:after="0" w:line="240" w:lineRule="auto"/>
            </w:pPr>
            <w:r>
              <w:t xml:space="preserve">The reconciliation only, one query per hop, with no lineage gate in front of it</w:t>
            </w:r>
          </w:p>
        </w:tc>
        <w:tc>
          <w:tcPr>
            <w:tcW w:w="1500" w:type="pct"/>
          </w:tcPr>
          <w:p>
            <w:pPr>
              <w:spacing w:after="0" w:line="240" w:lineRule="auto"/>
            </w:pPr>
            <w:r>
              <w:rPr>
                <w:rFonts w:ascii="Consolas" w:hAnsi="Consolas" w:cs="Consolas"/>
                <w:sz w:val="17"/>
              </w:rPr>
              <w:t xml:space="preserve">governance/</w:t>
            </w:r>
          </w:p>
        </w:tc>
      </w:tr>
      <w:tr>
        <w:tc>
          <w:tcPr>
            <w:tcW w:w="800" w:type="pct"/>
          </w:tcPr>
          <w:p>
            <w:pPr>
              <w:spacing w:after="0" w:line="240" w:lineRule="auto"/>
            </w:pPr>
            <w:r>
              <w:rPr>
                <w:rFonts w:ascii="Consolas" w:hAnsi="Consolas" w:cs="Consolas"/>
                <w:sz w:val="17"/>
              </w:rPr>
              <w:t xml:space="preserve">reconcile document</w:t>
            </w:r>
          </w:p>
        </w:tc>
        <w:tc>
          <w:tcPr>
            <w:tcW w:w="2700" w:type="pct"/>
          </w:tcPr>
          <w:p>
            <w:pPr>
              <w:spacing w:after="0" w:line="240" w:lineRule="auto"/>
            </w:pPr>
            <w:r>
              <w:t xml:space="preserve">The pipeline written up as a Word document and Markdown, reading whatever earlier commands left behind</w:t>
            </w:r>
          </w:p>
        </w:tc>
        <w:tc>
          <w:tcPr>
            <w:tcW w:w="1500" w:type="pct"/>
          </w:tcPr>
          <w:p>
            <w:pPr>
              <w:spacing w:after="0" w:line="240" w:lineRule="auto"/>
            </w:pPr>
            <w:r>
              <w:rPr>
                <w:rFonts w:ascii="Consolas" w:hAnsi="Consolas" w:cs="Consolas"/>
                <w:sz w:val="17"/>
              </w:rPr>
              <w:t xml:space="preserve">documentation/, diagrams/</w:t>
            </w:r>
          </w:p>
        </w:tc>
      </w:tr>
      <w:tr>
        <w:tc>
          <w:tcPr>
            <w:tcW w:w="800" w:type="pct"/>
          </w:tcPr>
          <w:p>
            <w:pPr>
              <w:spacing w:after="0" w:line="240" w:lineRule="auto"/>
            </w:pPr>
            <w:r>
              <w:rPr>
                <w:rFonts w:ascii="Consolas" w:hAnsi="Consolas" w:cs="Consolas"/>
                <w:sz w:val="17"/>
              </w:rPr>
              <w:t xml:space="preserve">reconcile diagrams</w:t>
            </w:r>
          </w:p>
        </w:tc>
        <w:tc>
          <w:tcPr>
            <w:tcW w:w="2700" w:type="pct"/>
          </w:tcPr>
          <w:p>
            <w:pPr>
              <w:spacing w:after="0" w:line="240" w:lineRule="auto"/>
            </w:pPr>
            <w:r>
              <w:t xml:space="preserve">The lineage as editable PowerPoint shapes plus one Office-ready SVG per hop</w:t>
            </w:r>
          </w:p>
        </w:tc>
        <w:tc>
          <w:tcPr>
            <w:tcW w:w="1500" w:type="pct"/>
          </w:tcPr>
          <w:p>
            <w:pPr>
              <w:spacing w:after="0" w:line="240" w:lineRule="auto"/>
            </w:pPr>
            <w:r>
              <w:rPr>
                <w:rFonts w:ascii="Consolas" w:hAnsi="Consolas" w:cs="Consolas"/>
                <w:sz w:val="17"/>
              </w:rPr>
              <w:t xml:space="preserve">diagrams/</w:t>
            </w:r>
          </w:p>
        </w:tc>
      </w:tr>
      <w:tr>
        <w:tc>
          <w:tcPr>
            <w:tcW w:w="800" w:type="pct"/>
          </w:tcPr>
          <w:p>
            <w:pPr>
              <w:spacing w:after="0" w:line="240" w:lineRule="auto"/>
            </w:pPr>
            <w:r>
              <w:rPr>
                <w:rFonts w:ascii="Consolas" w:hAnsi="Consolas" w:cs="Consolas"/>
                <w:sz w:val="17"/>
              </w:rPr>
              <w:t xml:space="preserve">reconcile layers</w:t>
            </w:r>
          </w:p>
        </w:tc>
        <w:tc>
          <w:tcPr>
            <w:tcW w:w="2700" w:type="pct"/>
          </w:tcPr>
          <w:p>
            <w:pPr>
              <w:spacing w:after="0" w:line="240" w:lineRule="auto"/>
            </w:pPr>
            <w:r>
              <w:t xml:space="preserve">Prints the detected layers and stops — writes nothing</w:t>
            </w:r>
          </w:p>
        </w:tc>
        <w:tc>
          <w:tcPr>
            <w:tcW w:w="1500" w:type="pct"/>
          </w:tcPr>
          <w:p>
            <w:pPr>
              <w:spacing w:after="0" w:line="240" w:lineRule="auto"/>
            </w:pPr>
            <w:r>
              <w:rPr>
                <w:rFonts w:ascii="Consolas" w:hAnsi="Consolas" w:cs="Consolas"/>
                <w:sz w:val="17"/>
              </w:rPr>
              <w:t xml:space="preserve">(nothing)</w:t>
            </w:r>
          </w:p>
        </w:tc>
      </w:tr>
    </w:tbl>
    <w:p>
      <w:pPr>
        <w:spacing w:after="0" w:line="240" w:lineRule="auto"/>
      </w:pPr>
    </w:p>
    <w:p>
      <w:r>
        <w:t xml:space="preserve">run is the one to reach for. The reconciliation is only as good as the lineage it is derived from, and that lineage is parsed out of SQL by heuristics a real project can defeat — so run draws the lineage first, asks you to confirm it, and applies your corrections to the underlying facts rather than only to the picture. Approving the diagram approves what the scripts are built on.</w:t>
      </w:r>
    </w:p>
    <w:p>
      <w:pPr>
        <w:pStyle w:val="Heading2"/>
      </w:pPr>
      <w:r>
        <w:t xml:space="preserve">Options</w:t>
      </w:r>
    </w:p>
    <w:tbl>
      <w:tblPr>
        <w:tblStyle w:val="Style1"/>
        <w:tblW w:w="5000" w:type="pct"/>
        <w:tblLook w:val="04A0" w:firstRow="1" w:lastRow="0" w:firstColumn="1" w:lastColumn="0" w:noHBand="0" w:noVBand="1"/>
      </w:tblPr>
      <w:tblGrid>
        <w:gridCol w:w="2975"/>
        <w:gridCol w:w="6943"/>
      </w:tblGrid>
      <w:tr>
        <w:trPr>
          <w:cnfStyle w:val="100000000000" w:firstRow="1" w:lastRow="0" w:firstColumn="0" w:lastColumn="0" w:oddVBand="0" w:evenVBand="0" w:oddHBand="0" w:evenHBand="0" w:firstRowFirstColumn="0" w:firstRowLastColumn="0" w:lastRowFirstColumn="0" w:lastRowLastColumn="0"/>
          <w:tblHeader/>
          <w:trHeight w:val="397"/>
        </w:trPr>
        <w:tc>
          <w:tcPr>
            <w:tcW w:w="1500" w:type="pct"/>
          </w:tcPr>
          <w:p>
            <w:pPr>
              <w:spacing w:after="0" w:line="240" w:lineRule="auto"/>
            </w:pPr>
            <w:r>
              <w:rPr>
                <w:b/>
                <w:color w:val="FFFFFF" w:themeColor="background1"/>
              </w:rPr>
              <w:t xml:space="preserve">Option</w:t>
            </w:r>
          </w:p>
        </w:tc>
        <w:tc>
          <w:tcPr>
            <w:tcW w:w="3500" w:type="pct"/>
          </w:tcPr>
          <w:p>
            <w:pPr>
              <w:spacing w:after="0" w:line="240" w:lineRule="auto"/>
            </w:pPr>
            <w:r>
              <w:rPr>
                <w:b/>
                <w:color w:val="FFFFFF" w:themeColor="background1"/>
              </w:rPr>
              <w:t xml:space="preserve">Effect</w:t>
            </w:r>
          </w:p>
        </w:tc>
      </w:tr>
      <w:tr>
        <w:tc>
          <w:tcPr>
            <w:tcW w:w="1500" w:type="pct"/>
          </w:tcPr>
          <w:p>
            <w:pPr>
              <w:spacing w:after="0" w:line="240" w:lineRule="auto"/>
            </w:pPr>
            <w:r>
              <w:rPr>
                <w:rFonts w:ascii="Consolas" w:hAnsi="Consolas" w:cs="Consolas"/>
                <w:sz w:val="17"/>
              </w:rPr>
              <w:t xml:space="preserve">--dir &lt;path&gt;</w:t>
            </w:r>
          </w:p>
        </w:tc>
        <w:tc>
          <w:tcPr>
            <w:tcW w:w="3500" w:type="pct"/>
          </w:tcPr>
          <w:p>
            <w:pPr>
              <w:spacing w:after="0" w:line="240" w:lineRule="auto"/>
            </w:pPr>
            <w:r>
              <w:t xml:space="preserve">Project folder to scan (default: the current directory)</w:t>
            </w:r>
          </w:p>
        </w:tc>
      </w:tr>
      <w:tr>
        <w:tc>
          <w:tcPr>
            <w:tcW w:w="1500" w:type="pct"/>
          </w:tcPr>
          <w:p>
            <w:pPr>
              <w:spacing w:after="0" w:line="240" w:lineRule="auto"/>
            </w:pPr>
            <w:r>
              <w:rPr>
                <w:rFonts w:ascii="Consolas" w:hAnsi="Consolas" w:cs="Consolas"/>
                <w:sz w:val="17"/>
              </w:rPr>
              <w:t xml:space="preserve">--out &lt;name&gt;</w:t>
            </w:r>
          </w:p>
        </w:tc>
        <w:tc>
          <w:tcPr>
            <w:tcW w:w="3500" w:type="pct"/>
          </w:tcPr>
          <w:p>
            <w:pPr>
              <w:spacing w:after="0" w:line="240" w:lineRule="auto"/>
            </w:pPr>
            <w:r>
              <w:t xml:space="preserve">Output folder for the reconciliation (default: governance)</w:t>
            </w:r>
          </w:p>
        </w:tc>
      </w:tr>
      <w:tr>
        <w:tc>
          <w:tcPr>
            <w:tcW w:w="1500" w:type="pct"/>
          </w:tcPr>
          <w:p>
            <w:pPr>
              <w:spacing w:after="0" w:line="240" w:lineRule="auto"/>
            </w:pPr>
            <w:r>
              <w:rPr>
                <w:rFonts w:ascii="Consolas" w:hAnsi="Consolas" w:cs="Consolas"/>
                <w:sz w:val="17"/>
              </w:rPr>
              <w:t xml:space="preserve">--lineage-out &lt;name&gt;</w:t>
            </w:r>
          </w:p>
        </w:tc>
        <w:tc>
          <w:tcPr>
            <w:tcW w:w="3500" w:type="pct"/>
          </w:tcPr>
          <w:p>
            <w:pPr>
              <w:spacing w:after="0" w:line="240" w:lineRule="auto"/>
            </w:pPr>
            <w:r>
              <w:t xml:space="preserve">Folder for the lineage diagram and data (default: lineage)</w:t>
            </w:r>
          </w:p>
        </w:tc>
      </w:tr>
      <w:tr>
        <w:tc>
          <w:tcPr>
            <w:tcW w:w="1500" w:type="pct"/>
          </w:tcPr>
          <w:p>
            <w:pPr>
              <w:spacing w:after="0" w:line="240" w:lineRule="auto"/>
            </w:pPr>
            <w:r>
              <w:rPr>
                <w:rFonts w:ascii="Consolas" w:hAnsi="Consolas" w:cs="Consolas"/>
                <w:sz w:val="17"/>
              </w:rPr>
              <w:t xml:space="preserve">--doc-out &lt;name&gt;</w:t>
            </w:r>
          </w:p>
        </w:tc>
        <w:tc>
          <w:tcPr>
            <w:tcW w:w="3500" w:type="pct"/>
          </w:tcPr>
          <w:p>
            <w:pPr>
              <w:spacing w:after="0" w:line="240" w:lineRule="auto"/>
            </w:pPr>
            <w:r>
              <w:t xml:space="preserve">Folder for the document (default: documentation)</w:t>
            </w:r>
          </w:p>
        </w:tc>
      </w:tr>
      <w:tr>
        <w:tc>
          <w:tcPr>
            <w:tcW w:w="1500" w:type="pct"/>
          </w:tcPr>
          <w:p>
            <w:pPr>
              <w:spacing w:after="0" w:line="240" w:lineRule="auto"/>
            </w:pPr>
            <w:r>
              <w:rPr>
                <w:rFonts w:ascii="Consolas" w:hAnsi="Consolas" w:cs="Consolas"/>
                <w:sz w:val="17"/>
              </w:rPr>
              <w:t xml:space="preserve">--diagrams-out &lt;name&gt;</w:t>
            </w:r>
          </w:p>
        </w:tc>
        <w:tc>
          <w:tcPr>
            <w:tcW w:w="3500" w:type="pct"/>
          </w:tcPr>
          <w:p>
            <w:pPr>
              <w:spacing w:after="0" w:line="240" w:lineRule="auto"/>
            </w:pPr>
            <w:r>
              <w:t xml:space="preserve">Folder for the deck and the SVGs (default: diagrams)</w:t>
            </w:r>
          </w:p>
        </w:tc>
      </w:tr>
      <w:tr>
        <w:tc>
          <w:tcPr>
            <w:tcW w:w="1500" w:type="pct"/>
          </w:tcPr>
          <w:p>
            <w:pPr>
              <w:spacing w:after="0" w:line="240" w:lineRule="auto"/>
            </w:pPr>
            <w:r>
              <w:rPr>
                <w:rFonts w:ascii="Consolas" w:hAnsi="Consolas" w:cs="Consolas"/>
                <w:sz w:val="17"/>
              </w:rPr>
              <w:t xml:space="preserve">--template &lt;path&gt;</w:t>
            </w:r>
          </w:p>
        </w:tc>
        <w:tc>
          <w:tcPr>
            <w:tcW w:w="3500" w:type="pct"/>
          </w:tcPr>
          <w:p>
            <w:pPr>
              <w:spacing w:after="0" w:line="240" w:lineRule="auto"/>
            </w:pPr>
            <w:r>
              <w:t xml:space="preserve">Word template to render into (default: the one bundled with Recon)</w:t>
            </w:r>
          </w:p>
        </w:tc>
      </w:tr>
      <w:tr>
        <w:tc>
          <w:tcPr>
            <w:tcW w:w="1500" w:type="pct"/>
          </w:tcPr>
          <w:p>
            <w:pPr>
              <w:spacing w:after="0" w:line="240" w:lineRule="auto"/>
            </w:pPr>
            <w:r>
              <w:rPr>
                <w:rFonts w:ascii="Consolas" w:hAnsi="Consolas" w:cs="Consolas"/>
                <w:sz w:val="17"/>
              </w:rPr>
              <w:t xml:space="preserve">--layers a,b,c</w:t>
            </w:r>
          </w:p>
        </w:tc>
        <w:tc>
          <w:tcPr>
            <w:tcW w:w="3500" w:type="pct"/>
          </w:tcPr>
          <w:p>
            <w:pPr>
              <w:spacing w:after="0" w:line="240" w:lineRule="auto"/>
            </w:pPr>
            <w:r>
              <w:t xml:space="preserve">Schema names, most-raw first, overriding auto-detection</w:t>
            </w:r>
          </w:p>
        </w:tc>
      </w:tr>
      <w:tr>
        <w:tc>
          <w:tcPr>
            <w:tcW w:w="1500" w:type="pct"/>
          </w:tcPr>
          <w:p>
            <w:pPr>
              <w:spacing w:after="0" w:line="240" w:lineRule="auto"/>
            </w:pPr>
            <w:r>
              <w:rPr>
                <w:rFonts w:ascii="Consolas" w:hAnsi="Consolas" w:cs="Consolas"/>
                <w:sz w:val="17"/>
              </w:rPr>
              <w:t xml:space="preserve">--env-file &lt;path&gt;</w:t>
            </w:r>
          </w:p>
        </w:tc>
        <w:tc>
          <w:tcPr>
            <w:tcW w:w="3500" w:type="pct"/>
          </w:tcPr>
          <w:p>
            <w:pPr>
              <w:spacing w:after="0" w:line="240" w:lineRule="auto"/>
            </w:pPr>
            <w:r>
              <w:t xml:space="preserve">Where to read AZURE_OPENAI_* from (default: &lt;dir&gt;/.env, then ./.env)</w:t>
            </w:r>
          </w:p>
        </w:tc>
      </w:tr>
      <w:tr>
        <w:tc>
          <w:tcPr>
            <w:tcW w:w="1500" w:type="pct"/>
          </w:tcPr>
          <w:p>
            <w:pPr>
              <w:spacing w:after="0" w:line="240" w:lineRule="auto"/>
            </w:pPr>
            <w:r>
              <w:rPr>
                <w:rFonts w:ascii="Consolas" w:hAnsi="Consolas" w:cs="Consolas"/>
                <w:sz w:val="17"/>
              </w:rPr>
              <w:t xml:space="preserve">--no-ai</w:t>
            </w:r>
          </w:p>
        </w:tc>
        <w:tc>
          <w:tcPr>
            <w:tcW w:w="3500" w:type="pct"/>
          </w:tcPr>
          <w:p>
            <w:pPr>
              <w:spacing w:after="0" w:line="240" w:lineRule="auto"/>
            </w:pPr>
            <w:r>
              <w:t xml:space="preserve">Skip the reviewer model — write only the schema-derived standard checks</w:t>
            </w:r>
          </w:p>
        </w:tc>
      </w:tr>
      <w:tr>
        <w:tc>
          <w:tcPr>
            <w:tcW w:w="1500" w:type="pct"/>
          </w:tcPr>
          <w:p>
            <w:pPr>
              <w:spacing w:after="0" w:line="240" w:lineRule="auto"/>
            </w:pPr>
            <w:r>
              <w:rPr>
                <w:rFonts w:ascii="Consolas" w:hAnsi="Consolas" w:cs="Consolas"/>
                <w:sz w:val="17"/>
              </w:rPr>
              <w:t xml:space="preserve">--no-notebooks</w:t>
            </w:r>
          </w:p>
        </w:tc>
        <w:tc>
          <w:tcPr>
            <w:tcW w:w="3500" w:type="pct"/>
          </w:tcPr>
          <w:p>
            <w:pPr>
              <w:spacing w:after="0" w:line="240" w:lineRule="auto"/>
            </w:pPr>
            <w:r>
              <w:t xml:space="preserve">Read .sql files only, ignoring Databricks notebook exports</w:t>
            </w:r>
          </w:p>
        </w:tc>
      </w:tr>
      <w:tr>
        <w:tc>
          <w:tcPr>
            <w:tcW w:w="1500" w:type="pct"/>
          </w:tcPr>
          <w:p>
            <w:pPr>
              <w:spacing w:after="0" w:line="240" w:lineRule="auto"/>
            </w:pPr>
            <w:r>
              <w:rPr>
                <w:rFonts w:ascii="Consolas" w:hAnsi="Consolas" w:cs="Consolas"/>
                <w:sz w:val="17"/>
              </w:rPr>
              <w:t xml:space="preserve">--no-diagrams</w:t>
            </w:r>
          </w:p>
        </w:tc>
        <w:tc>
          <w:tcPr>
            <w:tcW w:w="3500" w:type="pct"/>
          </w:tcPr>
          <w:p>
            <w:pPr>
              <w:spacing w:after="0" w:line="240" w:lineRule="auto"/>
            </w:pPr>
            <w:r>
              <w:t xml:space="preserve">document: skip the diagrams that normally accompany the write-up</w:t>
            </w:r>
          </w:p>
        </w:tc>
      </w:tr>
      <w:tr>
        <w:tc>
          <w:tcPr>
            <w:tcW w:w="1500" w:type="pct"/>
          </w:tcPr>
          <w:p>
            <w:pPr>
              <w:spacing w:after="0" w:line="240" w:lineRule="auto"/>
            </w:pPr>
            <w:r>
              <w:rPr>
                <w:rFonts w:ascii="Consolas" w:hAnsi="Consolas" w:cs="Consolas"/>
                <w:sz w:val="17"/>
              </w:rPr>
              <w:t xml:space="preserve">--auto-approve</w:t>
            </w:r>
          </w:p>
        </w:tc>
        <w:tc>
          <w:tcPr>
            <w:tcW w:w="3500" w:type="pct"/>
          </w:tcPr>
          <w:p>
            <w:pPr>
              <w:spacing w:after="0" w:line="240" w:lineRule="auto"/>
            </w:pPr>
            <w:r>
              <w:t xml:space="preserve">run: accept the extracted lineage without prompting (for CI)</w:t>
            </w:r>
          </w:p>
        </w:tc>
      </w:tr>
      <w:tr>
        <w:tc>
          <w:tcPr>
            <w:tcW w:w="1500" w:type="pct"/>
          </w:tcPr>
          <w:p>
            <w:pPr>
              <w:spacing w:after="0" w:line="240" w:lineRule="auto"/>
            </w:pPr>
            <w:r>
              <w:rPr>
                <w:rFonts w:ascii="Consolas" w:hAnsi="Consolas" w:cs="Consolas"/>
                <w:sz w:val="17"/>
              </w:rPr>
              <w:t xml:space="preserve">--document / --no-document</w:t>
            </w:r>
          </w:p>
        </w:tc>
        <w:tc>
          <w:tcPr>
            <w:tcW w:w="3500" w:type="pct"/>
          </w:tcPr>
          <w:p>
            <w:pPr>
              <w:spacing w:after="0" w:line="240" w:lineRule="auto"/>
            </w:pPr>
            <w:r>
              <w:t xml:space="preserve">run: answer the document question in advance</w:t>
            </w:r>
          </w:p>
        </w:tc>
      </w:tr>
      <w:tr>
        <w:tc>
          <w:tcPr>
            <w:tcW w:w="1500" w:type="pct"/>
          </w:tcPr>
          <w:p>
            <w:pPr>
              <w:spacing w:after="0" w:line="240" w:lineRule="auto"/>
            </w:pPr>
            <w:r>
              <w:rPr>
                <w:rFonts w:ascii="Consolas" w:hAnsi="Consolas" w:cs="Consolas"/>
                <w:sz w:val="17"/>
              </w:rPr>
              <w:t xml:space="preserve">--no-open</w:t>
            </w:r>
          </w:p>
        </w:tc>
        <w:tc>
          <w:tcPr>
            <w:tcW w:w="3500" w:type="pct"/>
          </w:tcPr>
          <w:p>
            <w:pPr>
              <w:spacing w:after="0" w:line="240" w:lineRule="auto"/>
            </w:pPr>
            <w:r>
              <w:t xml:space="preserve">run: do not try to open the lineage diagram in a browser</w:t>
            </w:r>
          </w:p>
        </w:tc>
      </w:tr>
      <w:tr>
        <w:tc>
          <w:tcPr>
            <w:tcW w:w="1500" w:type="pct"/>
          </w:tcPr>
          <w:p>
            <w:pPr>
              <w:spacing w:after="0" w:line="240" w:lineRule="auto"/>
            </w:pPr>
            <w:r>
              <w:rPr>
                <w:rFonts w:ascii="Consolas" w:hAnsi="Consolas" w:cs="Consolas"/>
                <w:sz w:val="17"/>
              </w:rPr>
              <w:t xml:space="preserve">--split</w:t>
            </w:r>
          </w:p>
        </w:tc>
        <w:tc>
          <w:tcPr>
            <w:tcW w:w="3500" w:type="pct"/>
          </w:tcPr>
          <w:p>
            <w:pPr>
              <w:spacing w:after="0" w:line="240" w:lineRule="auto"/>
            </w:pPr>
            <w:r>
              <w:t xml:space="preserve">Also write the per-table scripts, one folder per hop, beside each query</w:t>
            </w:r>
          </w:p>
        </w:tc>
      </w:tr>
      <w:tr>
        <w:tc>
          <w:tcPr>
            <w:tcW w:w="1500" w:type="pct"/>
          </w:tcPr>
          <w:p>
            <w:pPr>
              <w:spacing w:after="0" w:line="240" w:lineRule="auto"/>
            </w:pPr>
            <w:r>
              <w:rPr>
                <w:rFonts w:ascii="Consolas" w:hAnsi="Consolas" w:cs="Consolas"/>
                <w:sz w:val="17"/>
              </w:rPr>
              <w:t xml:space="preserve">--one-file</w:t>
            </w:r>
          </w:p>
        </w:tc>
        <w:tc>
          <w:tcPr>
            <w:tcW w:w="3500" w:type="pct"/>
          </w:tcPr>
          <w:p>
            <w:pPr>
              <w:spacing w:after="0" w:line="240" w:lineRule="auto"/>
            </w:pPr>
            <w:r>
              <w:t xml:space="preserve">Fold every hop into a single reconciliation.sql instead of one file per hop</w:t>
            </w:r>
          </w:p>
        </w:tc>
      </w:tr>
      <w:tr>
        <w:tc>
          <w:tcPr>
            <w:tcW w:w="1500" w:type="pct"/>
          </w:tcPr>
          <w:p>
            <w:pPr>
              <w:spacing w:after="0" w:line="240" w:lineRule="auto"/>
            </w:pPr>
            <w:r>
              <w:rPr>
                <w:rFonts w:ascii="Consolas" w:hAnsi="Consolas" w:cs="Consolas"/>
                <w:sz w:val="17"/>
              </w:rPr>
              <w:t xml:space="preserve">--max-files &lt;n&gt;</w:t>
            </w:r>
          </w:p>
        </w:tc>
        <w:tc>
          <w:tcPr>
            <w:tcW w:w="3500" w:type="pct"/>
          </w:tcPr>
          <w:p>
            <w:pPr>
              <w:spacing w:after="0" w:line="240" w:lineRule="auto"/>
            </w:pPr>
            <w:r>
              <w:t xml:space="preserve">Cap on how many files are read (default: 5000)</w:t>
            </w:r>
          </w:p>
        </w:tc>
      </w:tr>
      <w:tr>
        <w:tc>
          <w:tcPr>
            <w:tcW w:w="1500" w:type="pct"/>
          </w:tcPr>
          <w:p>
            <w:pPr>
              <w:spacing w:after="0" w:line="240" w:lineRule="auto"/>
            </w:pPr>
            <w:r>
              <w:rPr>
                <w:rFonts w:ascii="Consolas" w:hAnsi="Consolas" w:cs="Consolas"/>
                <w:sz w:val="17"/>
              </w:rPr>
              <w:t xml:space="preserve">-h, --help</w:t>
            </w:r>
          </w:p>
        </w:tc>
        <w:tc>
          <w:tcPr>
            <w:tcW w:w="3500" w:type="pct"/>
          </w:tcPr>
          <w:p>
            <w:pPr>
              <w:spacing w:after="0" w:line="240" w:lineRule="auto"/>
            </w:pPr>
            <w:r>
              <w:t xml:space="preserve">Show usage</w:t>
            </w:r>
          </w:p>
        </w:tc>
      </w:tr>
    </w:tbl>
    <w:p>
      <w:pPr>
        <w:spacing w:after="0" w:line="240" w:lineRule="auto"/>
      </w:pPr>
    </w:p>
    <w:p>
      <w:pPr>
        <w:pStyle w:val="Heading2"/>
      </w:pPr>
      <w:r>
        <w:t xml:space="preserve">A typical session</w:t>
      </w:r>
    </w:p>
    <w:p>
      <w:pPr>
        <w:pStyle w:val="Listnumber1"/>
      </w:pPr>
      <w:r>
        <w:t xml:space="preserve">cd into the project folder and run reconcile layers to check the schema names were understood.</w:t>
      </w:r>
    </w:p>
    <w:p>
      <w:pPr>
        <w:pStyle w:val="Listnumber1"/>
      </w:pPr>
      <w:r>
        <w:t xml:space="preserve">If they were not, re-run with --layers raw,staged,mart to name them explicitly.</w:t>
      </w:r>
    </w:p>
    <w:p>
      <w:pPr>
        <w:pStyle w:val="Listnumber1"/>
      </w:pPr>
      <w:r>
        <w:t xml:space="preserve">Run reconcile run. It draws the lineage and opens it for review.</w:t>
      </w:r>
    </w:p>
    <w:p>
      <w:pPr>
        <w:pStyle w:val="Listnumber1"/>
      </w:pPr>
      <w:r>
        <w:t xml:space="preserve">Correct anything the parser got wrong, then approve. The corrections are applied to the facts, not just the drawing.</w:t>
      </w:r>
    </w:p>
    <w:p>
      <w:pPr>
        <w:pStyle w:val="Listnumber1"/>
      </w:pPr>
      <w:r>
        <w:t xml:space="preserve">The reconciliation queries are written. Answer yes to the document question to get the write-up too.</w:t>
      </w:r>
    </w:p>
    <w:p>
      <w:pPr>
        <w:pStyle w:val="Listnumber1"/>
      </w:pPr>
      <w:r>
        <w:t xml:space="preserve">Run each governance/&lt;hop&gt;.sql against the warehouse and read the status column.</w:t>
      </w:r>
    </w:p>
    <w:p>
      <w:pPr>
        <w:spacing w:after="0" w:line="240" w:lineRule="auto"/>
        <w:shd w:val="clear" w:color="auto" w:fill="F4F4F6"/>
        <w:ind w:left="113" w:right="113"/>
      </w:pPr>
      <w:r>
        <w:rPr>
          <w:rFonts w:ascii="Consolas" w:hAnsi="Consolas" w:cs="Consolas"/>
          <w:sz w:val="17"/>
        </w:rPr>
        <w:t xml:space="preserve">cd /projects/my-warehouse</w:t>
      </w:r>
      <w:r>
        <w:rPr>
          <w:rFonts w:ascii="Consolas" w:hAnsi="Consolas" w:cs="Consolas"/>
          <w:sz w:val="17"/>
        </w:rPr>
        <w:br/>
        <w:t xml:space="preserve">reconcile layers</w:t>
      </w:r>
      <w:r>
        <w:rPr>
          <w:rFonts w:ascii="Consolas" w:hAnsi="Consolas" w:cs="Consolas"/>
          <w:sz w:val="17"/>
        </w:rPr>
        <w:br/>
        <w:t xml:space="preserve">reconcile run --layers raw,staged,mart</w:t>
      </w:r>
      <w:r>
        <w:rPr>
          <w:rFonts w:ascii="Consolas" w:hAnsi="Consolas" w:cs="Consolas"/>
          <w:sz w:val="17"/>
        </w:rPr>
        <w:br/>
        <w:t xml:space="preserve"/>
      </w:r>
      <w:r>
        <w:rPr>
          <w:rFonts w:ascii="Consolas" w:hAnsi="Consolas" w:cs="Consolas"/>
          <w:sz w:val="17"/>
        </w:rPr>
        <w:br/>
        <w:t xml:space="preserve"># non-interactive equivalent, for CI</w:t>
      </w:r>
      <w:r>
        <w:rPr>
          <w:rFonts w:ascii="Consolas" w:hAnsi="Consolas" w:cs="Consolas"/>
          <w:sz w:val="17"/>
        </w:rPr>
        <w:br/>
        <w:t xml:space="preserve">reconcile run --auto-approve --document --no-open</w:t>
      </w:r>
    </w:p>
    <w:p>
      <w:r>
        <w:br w:type="page"/>
      </w:r>
    </w:p>
    <w:p>
      <w:pPr>
        <w:pStyle w:val="Heading1"/>
      </w:pPr>
      <w:r>
        <w:t xml:space="preserve">The web application</w:t>
      </w:r>
    </w:p>
    <w:p>
      <w:r>
        <w:t xml:space="preserve">A thin Express API on port 4000 and a React single-page app in front of it. The client only ever talks to the backend through client/src/api/client.ts, whose return types double as the client-side view of the server's contract.</w:t>
      </w:r>
    </w:p>
    <w:p>
      <w:r>
        <w:t xml:space="preserve">The app opens on Connect and then forks. Give it a Databricks workspace and it goes to the pipeline setup and the S-dashboard; choose a local folder instead and it goes to the L-dashboard. The two never run at once, and they infer their layers differently — from the catalog's schema list on one side, from schema qualifiers in the SQL on the other.</w:t>
      </w:r>
    </w:p>
    <w:p>
      <w:pPr>
        <w:pStyle w:val="Heading2"/>
      </w:pPr>
      <w:r>
        <w:t xml:space="preserve">Databricks dashboard</w:t>
      </w:r>
    </w:p>
    <w:tbl>
      <w:tblPr>
        <w:tblStyle w:val="Style1"/>
        <w:tblW w:w="5000" w:type="pct"/>
        <w:tblLook w:val="04A0" w:firstRow="1" w:lastRow="0" w:firstColumn="1" w:lastColumn="0" w:noHBand="0" w:noVBand="1"/>
      </w:tblPr>
      <w:tblGrid>
        <w:gridCol w:w="2579"/>
        <w:gridCol w:w="7339"/>
      </w:tblGrid>
      <w:tr>
        <w:trPr>
          <w:cnfStyle w:val="100000000000" w:firstRow="1" w:lastRow="0" w:firstColumn="0" w:lastColumn="0" w:oddVBand="0" w:evenVBand="0" w:oddHBand="0" w:evenHBand="0" w:firstRowFirstColumn="0" w:firstRowLastColumn="0" w:lastRowFirstColumn="0" w:lastRowLastColumn="0"/>
          <w:tblHeader/>
          <w:trHeight w:val="397"/>
        </w:trPr>
        <w:tc>
          <w:tcPr>
            <w:tcW w:w="1300" w:type="pct"/>
          </w:tcPr>
          <w:p>
            <w:pPr>
              <w:spacing w:after="0" w:line="240" w:lineRule="auto"/>
            </w:pPr>
            <w:r>
              <w:rPr>
                <w:b/>
                <w:color w:val="FFFFFF" w:themeColor="background1"/>
              </w:rPr>
              <w:t xml:space="preserve">Tab</w:t>
            </w:r>
          </w:p>
        </w:tc>
        <w:tc>
          <w:tcPr>
            <w:tcW w:w="3700" w:type="pct"/>
          </w:tcPr>
          <w:p>
            <w:pPr>
              <w:spacing w:after="0" w:line="240" w:lineRule="auto"/>
            </w:pPr>
            <w:r>
              <w:rPr>
                <w:b/>
                <w:color w:val="FFFFFF" w:themeColor="background1"/>
              </w:rPr>
              <w:t xml:space="preserve">What it shows</w:t>
            </w:r>
          </w:p>
        </w:tc>
      </w:tr>
      <w:tr>
        <w:tc>
          <w:tcPr>
            <w:tcW w:w="1300" w:type="pct"/>
          </w:tcPr>
          <w:p>
            <w:pPr>
              <w:spacing w:after="0" w:line="240" w:lineRule="auto"/>
            </w:pPr>
            <w:r>
              <w:t xml:space="preserve">S1 · Layers &amp; tables</w:t>
            </w:r>
          </w:p>
        </w:tc>
        <w:tc>
          <w:tcPr>
            <w:tcW w:w="3700" w:type="pct"/>
          </w:tcPr>
          <w:p>
            <w:pPr>
              <w:spacing w:after="0" w:line="240" w:lineRule="auto"/>
            </w:pPr>
            <w:r>
              <w:t xml:space="preserve">The layers as detected, the tables in each, and their row counts when a warehouse is set</w:t>
            </w:r>
          </w:p>
        </w:tc>
      </w:tr>
      <w:tr>
        <w:tc>
          <w:tcPr>
            <w:tcW w:w="1300" w:type="pct"/>
          </w:tcPr>
          <w:p>
            <w:pPr>
              <w:spacing w:after="0" w:line="240" w:lineRule="auto"/>
            </w:pPr>
            <w:r>
              <w:t xml:space="preserve">S2 · Exclusions</w:t>
            </w:r>
          </w:p>
        </w:tc>
        <w:tc>
          <w:tcPr>
            <w:tcW w:w="3700" w:type="pct"/>
          </w:tcPr>
          <w:p>
            <w:pPr>
              <w:spacing w:after="0" w:line="240" w:lineRule="auto"/>
            </w:pPr>
            <w:r>
              <w:t xml:space="preserve">Filters each hop applies and how many rows each one drops — the expected, explainable loss</w:t>
            </w:r>
          </w:p>
        </w:tc>
      </w:tr>
      <w:tr>
        <w:tc>
          <w:tcPr>
            <w:tcW w:w="1300" w:type="pct"/>
          </w:tcPr>
          <w:p>
            <w:pPr>
              <w:spacing w:after="0" w:line="240" w:lineRule="auto"/>
            </w:pPr>
            <w:r>
              <w:t xml:space="preserve">S3 · Table lineage</w:t>
            </w:r>
          </w:p>
        </w:tc>
        <w:tc>
          <w:tcPr>
            <w:tcW w:w="3700" w:type="pct"/>
          </w:tcPr>
          <w:p>
            <w:pPr>
              <w:spacing w:after="0" w:line="240" w:lineRule="auto"/>
            </w:pPr>
            <w:r>
              <w:t xml:space="preserve">The extracted graph: which statement reads which table to write which other one</w:t>
            </w:r>
          </w:p>
        </w:tc>
      </w:tr>
      <w:tr>
        <w:tc>
          <w:tcPr>
            <w:tcW w:w="1300" w:type="pct"/>
          </w:tcPr>
          <w:p>
            <w:pPr>
              <w:spacing w:after="0" w:line="240" w:lineRule="auto"/>
            </w:pPr>
            <w:r>
              <w:t xml:space="preserve">S4 · Project summary</w:t>
            </w:r>
          </w:p>
        </w:tc>
        <w:tc>
          <w:tcPr>
            <w:tcW w:w="3700" w:type="pct"/>
          </w:tcPr>
          <w:p>
            <w:pPr>
              <w:spacing w:after="0" w:line="240" w:lineRule="auto"/>
            </w:pPr>
            <w:r>
              <w:t xml:space="preserve">The pipeline described as a whole, tables classified by their role</w:t>
            </w:r>
          </w:p>
        </w:tc>
      </w:tr>
      <w:tr>
        <w:tc>
          <w:tcPr>
            <w:tcW w:w="1300" w:type="pct"/>
          </w:tcPr>
          <w:p>
            <w:pPr>
              <w:spacing w:after="0" w:line="240" w:lineRule="auto"/>
            </w:pPr>
            <w:r>
              <w:t xml:space="preserve">S5 · Governance &amp; fixes</w:t>
            </w:r>
          </w:p>
        </w:tc>
        <w:tc>
          <w:tcPr>
            <w:tcW w:w="3700" w:type="pct"/>
          </w:tcPr>
          <w:p>
            <w:pPr>
              <w:spacing w:after="0" w:line="240" w:lineRule="auto"/>
            </w:pPr>
            <w:r>
              <w:t xml:space="preserve">The governance gate: responsible notebooks found automatically, fixes proposed, and — with a warehouse — verified against live counts</w:t>
            </w:r>
          </w:p>
        </w:tc>
      </w:tr>
    </w:tbl>
    <w:p>
      <w:pPr>
        <w:spacing w:after="0" w:line="240" w:lineRule="auto"/>
      </w:pPr>
    </w:p>
    <w:p>
      <w:pPr>
        <w:pStyle w:val="Heading2"/>
      </w:pPr>
      <w:r>
        <w:t xml:space="preserve">Local-folder dashboard</w:t>
      </w:r>
    </w:p>
    <w:tbl>
      <w:tblPr>
        <w:tblStyle w:val="Style1"/>
        <w:tblW w:w="5000" w:type="pct"/>
        <w:tblLook w:val="04A0" w:firstRow="1" w:lastRow="0" w:firstColumn="1" w:lastColumn="0" w:noHBand="0" w:noVBand="1"/>
      </w:tblPr>
      <w:tblGrid>
        <w:gridCol w:w="2579"/>
        <w:gridCol w:w="7339"/>
      </w:tblGrid>
      <w:tr>
        <w:trPr>
          <w:cnfStyle w:val="100000000000" w:firstRow="1" w:lastRow="0" w:firstColumn="0" w:lastColumn="0" w:oddVBand="0" w:evenVBand="0" w:oddHBand="0" w:evenHBand="0" w:firstRowFirstColumn="0" w:firstRowLastColumn="0" w:lastRowFirstColumn="0" w:lastRowLastColumn="0"/>
          <w:tblHeader/>
          <w:trHeight w:val="397"/>
        </w:trPr>
        <w:tc>
          <w:tcPr>
            <w:tcW w:w="1300" w:type="pct"/>
          </w:tcPr>
          <w:p>
            <w:pPr>
              <w:spacing w:after="0" w:line="240" w:lineRule="auto"/>
            </w:pPr>
            <w:r>
              <w:rPr>
                <w:b/>
                <w:color w:val="FFFFFF" w:themeColor="background1"/>
              </w:rPr>
              <w:t xml:space="preserve">Tab</w:t>
            </w:r>
          </w:p>
        </w:tc>
        <w:tc>
          <w:tcPr>
            <w:tcW w:w="3700" w:type="pct"/>
          </w:tcPr>
          <w:p>
            <w:pPr>
              <w:spacing w:after="0" w:line="240" w:lineRule="auto"/>
            </w:pPr>
            <w:r>
              <w:rPr>
                <w:b/>
                <w:color w:val="FFFFFF" w:themeColor="background1"/>
              </w:rPr>
              <w:t xml:space="preserve">What it shows</w:t>
            </w:r>
          </w:p>
        </w:tc>
      </w:tr>
      <w:tr>
        <w:tc>
          <w:tcPr>
            <w:tcW w:w="1300" w:type="pct"/>
          </w:tcPr>
          <w:p>
            <w:pPr>
              <w:spacing w:after="0" w:line="240" w:lineRule="auto"/>
            </w:pPr>
            <w:r>
              <w:t xml:space="preserve">L1 · Files &amp; tables</w:t>
            </w:r>
          </w:p>
        </w:tc>
        <w:tc>
          <w:tcPr>
            <w:tcW w:w="3700" w:type="pct"/>
          </w:tcPr>
          <w:p>
            <w:pPr>
              <w:spacing w:after="0" w:line="240" w:lineRule="auto"/>
            </w:pPr>
            <w:r>
              <w:t xml:space="preserve">Every .sql file found, the statements parsed out of it, and the tables discovered</w:t>
            </w:r>
          </w:p>
        </w:tc>
      </w:tr>
      <w:tr>
        <w:tc>
          <w:tcPr>
            <w:tcW w:w="1300" w:type="pct"/>
          </w:tcPr>
          <w:p>
            <w:pPr>
              <w:spacing w:after="0" w:line="240" w:lineRule="auto"/>
            </w:pPr>
            <w:r>
              <w:t xml:space="preserve">L2 · Table lineage</w:t>
            </w:r>
          </w:p>
        </w:tc>
        <w:tc>
          <w:tcPr>
            <w:tcW w:w="3700" w:type="pct"/>
          </w:tcPr>
          <w:p>
            <w:pPr>
              <w:spacing w:after="0" w:line="240" w:lineRule="auto"/>
            </w:pPr>
            <w:r>
              <w:t xml:space="preserve">The same lineage graph, derived from the SQL alone with no catalog to consult</w:t>
            </w:r>
          </w:p>
        </w:tc>
      </w:tr>
      <w:tr>
        <w:tc>
          <w:tcPr>
            <w:tcW w:w="1300" w:type="pct"/>
          </w:tcPr>
          <w:p>
            <w:pPr>
              <w:spacing w:after="0" w:line="240" w:lineRule="auto"/>
            </w:pPr>
            <w:r>
              <w:t xml:space="preserve">L3 · Governance &amp; fixes</w:t>
            </w:r>
          </w:p>
        </w:tc>
        <w:tc>
          <w:tcPr>
            <w:tcW w:w="3700" w:type="pct"/>
          </w:tcPr>
          <w:p>
            <w:pPr>
              <w:spacing w:after="0" w:line="240" w:lineRule="auto"/>
            </w:pPr>
            <w:r>
              <w:t xml:space="preserve">One hop's statements reviewed at a time — or all of them when the SQL never qualifies its tables</w:t>
            </w:r>
          </w:p>
        </w:tc>
      </w:tr>
      <w:tr>
        <w:tc>
          <w:tcPr>
            <w:tcW w:w="1300" w:type="pct"/>
          </w:tcPr>
          <w:p>
            <w:pPr>
              <w:spacing w:after="0" w:line="240" w:lineRule="auto"/>
            </w:pPr>
            <w:r>
              <w:t xml:space="preserve">L4 · Reconciliation scripts</w:t>
            </w:r>
          </w:p>
        </w:tc>
        <w:tc>
          <w:tcPr>
            <w:tcW w:w="3700" w:type="pct"/>
          </w:tcPr>
          <w:p>
            <w:pPr>
              <w:spacing w:after="0" w:line="240" w:lineRule="auto"/>
            </w:pPr>
            <w:r>
              <w:t xml:space="preserve">The reconciliation for every hop, downloadable as a zip: the bundle and the per-table scripts, one folder per hop</w:t>
            </w:r>
          </w:p>
        </w:tc>
      </w:tr>
    </w:tbl>
    <w:p>
      <w:pPr>
        <w:spacing w:after="0" w:line="240" w:lineRule="auto"/>
      </w:pPr>
    </w:p>
    <w:p>
      <w:pPr>
        <w:pStyle w:val="Heading2"/>
      </w:pPr>
      <w:r>
        <w:t xml:space="preserve">Upload limits</w:t>
      </w:r>
    </w:p>
    <w:p>
      <w:r>
        <w:t xml:space="preserve">Only SQL text crosses the wire — the browser walks the chosen folder and sends file contents, never the folder handle. Both sides cap it.</w:t>
      </w:r>
    </w:p>
    <w:tbl>
      <w:tblPr>
        <w:tblStyle w:val="Style1"/>
        <w:tblW w:w="5000" w:type="pct"/>
        <w:tblLook w:val="04A0" w:firstRow="1" w:lastRow="0" w:firstColumn="1" w:lastColumn="0" w:noHBand="0" w:noVBand="1"/>
      </w:tblPr>
      <w:tblGrid>
        <w:gridCol w:w="3372"/>
        <w:gridCol w:w="2182"/>
        <w:gridCol w:w="2182"/>
        <w:gridCol w:w="2182"/>
      </w:tblGrid>
      <w:tr>
        <w:trPr>
          <w:cnfStyle w:val="100000000000" w:firstRow="1" w:lastRow="0" w:firstColumn="0" w:lastColumn="0" w:oddVBand="0" w:evenVBand="0" w:oddHBand="0" w:evenHBand="0" w:firstRowFirstColumn="0" w:firstRowLastColumn="0" w:lastRowFirstColumn="0" w:lastRowLastColumn="0"/>
          <w:tblHeader/>
          <w:trHeight w:val="397"/>
        </w:trPr>
        <w:tc>
          <w:tcPr>
            <w:tcW w:w="1700" w:type="pct"/>
          </w:tcPr>
          <w:p>
            <w:pPr>
              <w:spacing w:after="0" w:line="240" w:lineRule="auto"/>
            </w:pPr>
            <w:r>
              <w:rPr>
                <w:b/>
                <w:color w:val="FFFFFF" w:themeColor="background1"/>
              </w:rPr>
              <w:t xml:space="preserve">Cap</w:t>
            </w:r>
          </w:p>
        </w:tc>
        <w:tc>
          <w:tcPr>
            <w:tcW w:w="1100" w:type="pct"/>
          </w:tcPr>
          <w:p>
            <w:pPr>
              <w:spacing w:after="0" w:line="240" w:lineRule="auto"/>
            </w:pPr>
            <w:r>
              <w:rPr>
                <w:b/>
                <w:color w:val="FFFFFF" w:themeColor="background1"/>
              </w:rPr>
              <w:t xml:space="preserve">Browser</w:t>
            </w:r>
          </w:p>
        </w:tc>
        <w:tc>
          <w:tcPr>
            <w:tcW w:w="1100" w:type="pct"/>
          </w:tcPr>
          <w:p>
            <w:pPr>
              <w:spacing w:after="0" w:line="240" w:lineRule="auto"/>
            </w:pPr>
            <w:r>
              <w:rPr>
                <w:b/>
                <w:color w:val="FFFFFF" w:themeColor="background1"/>
              </w:rPr>
              <w:t xml:space="preserve">Server</w:t>
            </w:r>
          </w:p>
        </w:tc>
        <w:tc>
          <w:tcPr>
            <w:tcW w:w="1100" w:type="pct"/>
          </w:tcPr>
          <w:p>
            <w:pPr>
              <w:spacing w:after="0" w:line="240" w:lineRule="auto"/>
            </w:pPr>
            <w:r>
              <w:rPr>
                <w:b/>
                <w:color w:val="FFFFFF" w:themeColor="background1"/>
              </w:rPr>
              <w:t xml:space="preserve">CLI</w:t>
            </w:r>
          </w:p>
        </w:tc>
      </w:tr>
      <w:tr>
        <w:tc>
          <w:tcPr>
            <w:tcW w:w="1700" w:type="pct"/>
          </w:tcPr>
          <w:p>
            <w:pPr>
              <w:spacing w:after="0" w:line="240" w:lineRule="auto"/>
            </w:pPr>
            <w:r>
              <w:t xml:space="preserve">Files</w:t>
            </w:r>
          </w:p>
        </w:tc>
        <w:tc>
          <w:tcPr>
            <w:tcW w:w="1100" w:type="pct"/>
          </w:tcPr>
          <w:p>
            <w:pPr>
              <w:spacing w:after="0" w:line="240" w:lineRule="auto"/>
            </w:pPr>
            <w:r>
              <w:t xml:space="preserve">300</w:t>
            </w:r>
          </w:p>
        </w:tc>
        <w:tc>
          <w:tcPr>
            <w:tcW w:w="1100" w:type="pct"/>
          </w:tcPr>
          <w:p>
            <w:pPr>
              <w:spacing w:after="0" w:line="240" w:lineRule="auto"/>
            </w:pPr>
            <w:r>
              <w:t xml:space="preserve">500</w:t>
            </w:r>
          </w:p>
        </w:tc>
        <w:tc>
          <w:tcPr>
            <w:tcW w:w="1100" w:type="pct"/>
          </w:tcPr>
          <w:p>
            <w:pPr>
              <w:spacing w:after="0" w:line="240" w:lineRule="auto"/>
            </w:pPr>
            <w:r>
              <w:t xml:space="preserve">5000 (--max-files)</w:t>
            </w:r>
          </w:p>
        </w:tc>
      </w:tr>
      <w:tr>
        <w:tc>
          <w:tcPr>
            <w:tcW w:w="1700" w:type="pct"/>
          </w:tcPr>
          <w:p>
            <w:pPr>
              <w:spacing w:after="0" w:line="240" w:lineRule="auto"/>
            </w:pPr>
            <w:r>
              <w:t xml:space="preserve">Per file</w:t>
            </w:r>
          </w:p>
        </w:tc>
        <w:tc>
          <w:tcPr>
            <w:tcW w:w="1100" w:type="pct"/>
          </w:tcPr>
          <w:p>
            <w:pPr>
              <w:spacing w:after="0" w:line="240" w:lineRule="auto"/>
            </w:pPr>
            <w:r>
              <w:t xml:space="preserve">512 KB</w:t>
            </w:r>
          </w:p>
        </w:tc>
        <w:tc>
          <w:tcPr>
            <w:tcW w:w="1100" w:type="pct"/>
          </w:tcPr>
          <w:p>
            <w:pPr>
              <w:spacing w:after="0" w:line="240" w:lineRule="auto"/>
            </w:pPr>
            <w:r>
              <w:t xml:space="preserve">—</w:t>
            </w:r>
          </w:p>
        </w:tc>
        <w:tc>
          <w:tcPr>
            <w:tcW w:w="1100" w:type="pct"/>
          </w:tcPr>
          <w:p>
            <w:pPr>
              <w:spacing w:after="0" w:line="240" w:lineRule="auto"/>
            </w:pPr>
            <w:r>
              <w:t xml:space="preserve">4 MB</w:t>
            </w:r>
          </w:p>
        </w:tc>
      </w:tr>
      <w:tr>
        <w:tc>
          <w:tcPr>
            <w:tcW w:w="1700" w:type="pct"/>
          </w:tcPr>
          <w:p>
            <w:pPr>
              <w:spacing w:after="0" w:line="240" w:lineRule="auto"/>
            </w:pPr>
            <w:r>
              <w:t xml:space="preserve">Total</w:t>
            </w:r>
          </w:p>
        </w:tc>
        <w:tc>
          <w:tcPr>
            <w:tcW w:w="1100" w:type="pct"/>
          </w:tcPr>
          <w:p>
            <w:pPr>
              <w:spacing w:after="0" w:line="240" w:lineRule="auto"/>
            </w:pPr>
            <w:r>
              <w:t xml:space="preserve">6 MB</w:t>
            </w:r>
          </w:p>
        </w:tc>
        <w:tc>
          <w:tcPr>
            <w:tcW w:w="1100" w:type="pct"/>
          </w:tcPr>
          <w:p>
            <w:pPr>
              <w:spacing w:after="0" w:line="240" w:lineRule="auto"/>
            </w:pPr>
            <w:r>
              <w:t xml:space="preserve">8 MB</w:t>
            </w:r>
          </w:p>
        </w:tc>
        <w:tc>
          <w:tcPr>
            <w:tcW w:w="1100" w:type="pct"/>
          </w:tcPr>
          <w:p>
            <w:pPr>
              <w:spacing w:after="0" w:line="240" w:lineRule="auto"/>
            </w:pPr>
            <w:r>
              <w:t xml:space="preserve">64 MB</w:t>
            </w:r>
          </w:p>
        </w:tc>
      </w:tr>
    </w:tbl>
    <w:p>
      <w:pPr>
        <w:spacing w:after="0" w:line="240" w:lineRule="auto"/>
      </w:pPr>
    </w:p>
    <w:p>
      <w:r>
        <w:br w:type="page"/>
      </w:r>
    </w:p>
    <w:p>
      <w:pPr>
        <w:pStyle w:val="Heading1"/>
      </w:pPr>
      <w:r>
        <w:t xml:space="preserve">How Recon works</w:t>
      </w:r>
    </w:p>
    <w:p>
      <w:pPr>
        <w:pStyle w:val="Heading2"/>
      </w:pPr>
      <w:r>
        <w:t xml:space="preserve">There is no database</w:t>
      </w:r>
    </w:p>
    <w:p>
      <w:r>
        <w:t xml:space="preserve">Everything the server knows lives in services/../store/memoryStore.ts — a single in-process object holding the connection, the catalog, the notebooks, the parsed local SQL folder and the results derived from them. It resets whenever a new Databricks connection is established. That makes the server single-session and single-user by design, and means state is lost on restart. The CLI sidesteps the question entirely by holding the project in memory for one command.</w:t>
      </w:r>
    </w:p>
    <w:p>
      <w:pPr>
        <w:pStyle w:val="Heading2"/>
      </w:pPr>
      <w:r>
        <w:t xml:space="preserve">The parsing layer</w:t>
      </w:r>
    </w:p>
    <w:p>
      <w:r>
        <w:t xml:space="preserve">Almost everything else is built on a handful of primitives, each answering one narrow question about one piece of code. Extend the primitive rather than post-processing its output at a call site — that is what keeps notebooks and .sql files answering the same way.</w:t>
      </w:r>
    </w:p>
    <w:tbl>
      <w:tblPr>
        <w:tblStyle w:val="Style1"/>
        <w:tblW w:w="5000" w:type="pct"/>
        <w:tblLook w:val="04A0" w:firstRow="1" w:lastRow="0" w:firstColumn="1" w:lastColumn="0" w:noHBand="0" w:noVBand="1"/>
      </w:tblPr>
      <w:tblGrid>
        <w:gridCol w:w="2777"/>
        <w:gridCol w:w="3967"/>
        <w:gridCol w:w="3174"/>
      </w:tblGrid>
      <w:tr>
        <w:trPr>
          <w:cnfStyle w:val="100000000000" w:firstRow="1" w:lastRow="0" w:firstColumn="0" w:lastColumn="0" w:oddVBand="0" w:evenVBand="0" w:oddHBand="0" w:evenHBand="0" w:firstRowFirstColumn="0" w:firstRowLastColumn="0" w:lastRowFirstColumn="0" w:lastRowLastColumn="0"/>
          <w:tblHeader/>
          <w:trHeight w:val="397"/>
        </w:trPr>
        <w:tc>
          <w:tcPr>
            <w:tcW w:w="1400" w:type="pct"/>
          </w:tcPr>
          <w:p>
            <w:pPr>
              <w:spacing w:after="0" w:line="240" w:lineRule="auto"/>
            </w:pPr>
            <w:r>
              <w:rPr>
                <w:b/>
                <w:color w:val="FFFFFF" w:themeColor="background1"/>
              </w:rPr>
              <w:t xml:space="preserve">Primitive</w:t>
            </w:r>
          </w:p>
        </w:tc>
        <w:tc>
          <w:tcPr>
            <w:tcW w:w="2000" w:type="pct"/>
          </w:tcPr>
          <w:p>
            <w:pPr>
              <w:spacing w:after="0" w:line="240" w:lineRule="auto"/>
            </w:pPr>
            <w:r>
              <w:rPr>
                <w:b/>
                <w:color w:val="FFFFFF" w:themeColor="background1"/>
              </w:rPr>
              <w:t xml:space="preserve">Question it answers</w:t>
            </w:r>
          </w:p>
        </w:tc>
        <w:tc>
          <w:tcPr>
            <w:tcW w:w="1600" w:type="pct"/>
          </w:tcPr>
          <w:p>
            <w:pPr>
              <w:spacing w:after="0" w:line="240" w:lineRule="auto"/>
            </w:pPr>
            <w:r>
              <w:rPr>
                <w:b/>
                <w:color w:val="FFFFFF" w:themeColor="background1"/>
              </w:rPr>
              <w:t xml:space="preserve">Notes</w:t>
            </w:r>
          </w:p>
        </w:tc>
      </w:tr>
      <w:tr>
        <w:tc>
          <w:tcPr>
            <w:tcW w:w="1400" w:type="pct"/>
          </w:tcPr>
          <w:p>
            <w:pPr>
              <w:spacing w:after="0" w:line="240" w:lineRule="auto"/>
            </w:pPr>
            <w:r>
              <w:rPr>
                <w:rFonts w:ascii="Consolas" w:hAnsi="Consolas" w:cs="Consolas"/>
                <w:sz w:val="17"/>
              </w:rPr>
              <w:t xml:space="preserve">notebookParser.ts</w:t>
            </w:r>
          </w:p>
        </w:tc>
        <w:tc>
          <w:tcPr>
            <w:tcW w:w="2000" w:type="pct"/>
          </w:tcPr>
          <w:p>
            <w:pPr>
              <w:spacing w:after="0" w:line="240" w:lineRule="auto"/>
            </w:pPr>
            <w:r>
              <w:t xml:space="preserve">Where do a Databricks notebook export's cells begin and end?</w:t>
            </w:r>
          </w:p>
        </w:tc>
        <w:tc>
          <w:tcPr>
            <w:tcW w:w="1600" w:type="pct"/>
          </w:tcPr>
          <w:p>
            <w:pPr>
              <w:spacing w:after="0" w:line="240" w:lineRule="auto"/>
            </w:pPr>
            <w:r>
              <w:t xml:space="preserve">Understands # COMMAND ---------- separators and # MAGIC %sql prefixes</w:t>
            </w:r>
          </w:p>
        </w:tc>
      </w:tr>
      <w:tr>
        <w:tc>
          <w:tcPr>
            <w:tcW w:w="1400" w:type="pct"/>
          </w:tcPr>
          <w:p>
            <w:pPr>
              <w:spacing w:after="0" w:line="240" w:lineRule="auto"/>
            </w:pPr>
            <w:r>
              <w:rPr>
                <w:rFonts w:ascii="Consolas" w:hAnsi="Consolas" w:cs="Consolas"/>
                <w:sz w:val="17"/>
              </w:rPr>
              <w:t xml:space="preserve">sqlFileParser.ts</w:t>
            </w:r>
          </w:p>
        </w:tc>
        <w:tc>
          <w:tcPr>
            <w:tcW w:w="2000" w:type="pct"/>
          </w:tcPr>
          <w:p>
            <w:pPr>
              <w:spacing w:after="0" w:line="240" w:lineRule="auto"/>
            </w:pPr>
            <w:r>
              <w:t xml:space="preserve">Where does each statement in a .sql file begin and end?</w:t>
            </w:r>
          </w:p>
        </w:tc>
        <w:tc>
          <w:tcPr>
            <w:tcW w:w="1600" w:type="pct"/>
          </w:tcPr>
          <w:p>
            <w:pPr>
              <w:spacing w:after="0" w:line="240" w:lineRule="auto"/>
            </w:pPr>
            <w:r>
              <w:t xml:space="preserve">Records byte spans, so a corrected statement can be spliced back with every other byte preserved</w:t>
            </w:r>
          </w:p>
        </w:tc>
      </w:tr>
      <w:tr>
        <w:tc>
          <w:tcPr>
            <w:tcW w:w="1400" w:type="pct"/>
          </w:tcPr>
          <w:p>
            <w:pPr>
              <w:spacing w:after="0" w:line="240" w:lineRule="auto"/>
            </w:pPr>
            <w:r>
              <w:rPr>
                <w:rFonts w:ascii="Consolas" w:hAnsi="Consolas" w:cs="Consolas"/>
                <w:sz w:val="17"/>
              </w:rPr>
              <w:t xml:space="preserve">sqlAnalyzer.ts</w:t>
            </w:r>
          </w:p>
        </w:tc>
        <w:tc>
          <w:tcPr>
            <w:tcW w:w="2000" w:type="pct"/>
          </w:tcPr>
          <w:p>
            <w:pPr>
              <w:spacing w:after="0" w:line="240" w:lineRule="auto"/>
            </w:pPr>
            <w:r>
              <w:t xml:space="preserve">What does this statement parse to?</w:t>
            </w:r>
          </w:p>
        </w:tc>
        <w:tc>
          <w:tcPr>
            <w:tcW w:w="1600" w:type="pct"/>
          </w:tcPr>
          <w:p>
            <w:pPr>
              <w:spacing w:after="0" w:line="240" w:lineRule="auto"/>
            </w:pPr>
            <w:r>
              <w:t xml:space="preserve">node-sql-parser across hive → transactsql → postgresql → mysql, with a regex fallback</w:t>
            </w:r>
          </w:p>
        </w:tc>
      </w:tr>
      <w:tr>
        <w:tc>
          <w:tcPr>
            <w:tcW w:w="1400" w:type="pct"/>
          </w:tcPr>
          <w:p>
            <w:pPr>
              <w:spacing w:after="0" w:line="240" w:lineRule="auto"/>
            </w:pPr>
            <w:r>
              <w:rPr>
                <w:rFonts w:ascii="Consolas" w:hAnsi="Consolas" w:cs="Consolas"/>
                <w:sz w:val="17"/>
              </w:rPr>
              <w:t xml:space="preserve">tableLineage.ts</w:t>
            </w:r>
          </w:p>
        </w:tc>
        <w:tc>
          <w:tcPr>
            <w:tcW w:w="2000" w:type="pct"/>
          </w:tcPr>
          <w:p>
            <w:pPr>
              <w:spacing w:after="0" w:line="240" w:lineRule="auto"/>
            </w:pPr>
            <w:r>
              <w:t xml:space="preserve">Which tables does this statement read, and which does it write?</w:t>
            </w:r>
          </w:p>
        </w:tc>
        <w:tc>
          <w:tcPr>
            <w:tcW w:w="1600" w:type="pct"/>
          </w:tcPr>
          <w:p>
            <w:pPr>
              <w:spacing w:after="0" w:line="240" w:lineRule="auto"/>
            </w:pPr>
            <w:r>
              <w:t xml:space="preserve">The single place that decision is made; MERGE, CTAS and 3-part names fall back to regex</w:t>
            </w:r>
          </w:p>
        </w:tc>
      </w:tr>
      <w:tr>
        <w:tc>
          <w:tcPr>
            <w:tcW w:w="1400" w:type="pct"/>
          </w:tcPr>
          <w:p>
            <w:pPr>
              <w:spacing w:after="0" w:line="240" w:lineRule="auto"/>
            </w:pPr>
            <w:r>
              <w:rPr>
                <w:rFonts w:ascii="Consolas" w:hAnsi="Consolas" w:cs="Consolas"/>
                <w:sz w:val="17"/>
              </w:rPr>
              <w:t xml:space="preserve">sqlColumns.ts</w:t>
            </w:r>
          </w:p>
        </w:tc>
        <w:tc>
          <w:tcPr>
            <w:tcW w:w="2000" w:type="pct"/>
          </w:tcPr>
          <w:p>
            <w:pPr>
              <w:spacing w:after="0" w:line="240" w:lineRule="auto"/>
            </w:pPr>
            <w:r>
              <w:t xml:space="preserve">What columns are in this table?</w:t>
            </w:r>
          </w:p>
        </w:tc>
        <w:tc>
          <w:tcPr>
            <w:tcW w:w="1600" w:type="pct"/>
          </w:tcPr>
          <w:p>
            <w:pPr>
              <w:spacing w:after="0" w:line="240" w:lineRule="auto"/>
            </w:pPr>
            <w:r>
              <w:t xml:space="preserve">Hand-written, not AST-based — node-sql-parser rejects real SSDT DDL in all four dialects</w:t>
            </w:r>
          </w:p>
        </w:tc>
      </w:tr>
      <w:tr>
        <w:tc>
          <w:tcPr>
            <w:tcW w:w="1400" w:type="pct"/>
          </w:tcPr>
          <w:p>
            <w:pPr>
              <w:spacing w:after="0" w:line="240" w:lineRule="auto"/>
            </w:pPr>
            <w:r>
              <w:rPr>
                <w:rFonts w:ascii="Consolas" w:hAnsi="Consolas" w:cs="Consolas"/>
                <w:sz w:val="17"/>
              </w:rPr>
              <w:t xml:space="preserve">whereClauseAnalyzer.ts</w:t>
            </w:r>
          </w:p>
        </w:tc>
        <w:tc>
          <w:tcPr>
            <w:tcW w:w="2000" w:type="pct"/>
          </w:tcPr>
          <w:p>
            <w:pPr>
              <w:spacing w:after="0" w:line="240" w:lineRule="auto"/>
            </w:pPr>
            <w:r>
              <w:t xml:space="preserve">What does this transformation filter on?</w:t>
            </w:r>
          </w:p>
        </w:tc>
        <w:tc>
          <w:tcPr>
            <w:tcW w:w="1600" w:type="pct"/>
          </w:tcPr>
          <w:p>
            <w:pPr>
              <w:spacing w:after="0" w:line="240" w:lineRule="auto"/>
            </w:pPr>
            <w:r>
              <w:t xml:space="preserve">Quoted in the script as the difference a count check is expected to show</w:t>
            </w:r>
          </w:p>
        </w:tc>
      </w:tr>
      <w:tr>
        <w:tc>
          <w:tcPr>
            <w:tcW w:w="1400" w:type="pct"/>
          </w:tcPr>
          <w:p>
            <w:pPr>
              <w:spacing w:after="0" w:line="240" w:lineRule="auto"/>
            </w:pPr>
            <w:r>
              <w:rPr>
                <w:rFonts w:ascii="Consolas" w:hAnsi="Consolas" w:cs="Consolas"/>
                <w:sz w:val="17"/>
              </w:rPr>
              <w:t xml:space="preserve">columnRole (in reconciliationScripts.ts)</w:t>
            </w:r>
          </w:p>
        </w:tc>
        <w:tc>
          <w:tcPr>
            <w:tcW w:w="2000" w:type="pct"/>
          </w:tcPr>
          <w:p>
            <w:pPr>
              <w:spacing w:after="0" w:line="240" w:lineRule="auto"/>
            </w:pPr>
            <w:r>
              <w:t xml:space="preserve">Is this column a key, a measure, a label or a timestamp?</w:t>
            </w:r>
          </w:p>
        </w:tc>
        <w:tc>
          <w:tcPr>
            <w:tcW w:w="1600" w:type="pct"/>
          </w:tcPr>
          <w:p>
            <w:pPr>
              <w:spacing w:after="0" w:line="240" w:lineRule="auto"/>
            </w:pPr>
            <w:r>
              <w:t xml:space="preserve">The head noun decides; the declared type only breaks ties</w:t>
            </w:r>
          </w:p>
        </w:tc>
      </w:tr>
    </w:tbl>
    <w:p>
      <w:pPr>
        <w:spacing w:after="0" w:line="240" w:lineRule="auto"/>
      </w:pPr>
    </w:p>
    <w:p>
      <w:pPr>
        <w:pStyle w:val="Heading2"/>
      </w:pPr>
      <w:r>
        <w:t xml:space="preserve">Layers and lineage</w:t>
      </w:r>
    </w:p>
    <w:p>
      <w:pPr>
        <w:pStyle w:val="Bullet"/>
      </w:pPr>
      <w:r>
        <w:t xml:space="preserve">Layers are inferred from schema names by keyword — bronze/silver/gold and their equivalents — and ordered most-raw first. Adjacent pairs become hops.</w:t>
      </w:r>
    </w:p>
    <w:p>
      <w:pPr>
        <w:pStyle w:val="Bullet"/>
      </w:pPr>
      <w:r>
        <w:t xml:space="preserve">Lineage is a graph of facts: each statement contributes the tables it reads and the table it writes, tagged by operation so a source is never mistaken for a target.</w:t>
      </w:r>
    </w:p>
    <w:p>
      <w:pPr>
        <w:pStyle w:val="Bullet"/>
      </w:pPr>
      <w:r>
        <w:t xml:space="preserve">SSDT projects need two repairs before the graph is usable: T-SQL temp tables are redrawn onto the real tables at either end of the chain, and targets the SQL left unqualified take the schema their folder names.</w:t>
      </w:r>
    </w:p>
    <w:p>
      <w:pPr>
        <w:pStyle w:val="Bullet"/>
      </w:pPr>
      <w:r>
        <w:t xml:space="preserve">Corrections made at the confirmation gate are recorded and replayed onto later scans, so the document and the scripts describe the lineage you approved, not the one the parser first guessed.</w:t>
      </w:r>
    </w:p>
    <w:p>
      <w:pPr>
        <w:pStyle w:val="Heading2"/>
      </w:pPr>
      <w:r>
        <w:t xml:space="preserve">How a check is chosen</w:t>
      </w:r>
    </w:p>
    <w:p>
      <w:r>
        <w:t xml:space="preserve">The standard checks are derived, with no model involved. A script naming a column the table does not have is worse than no script, and the columns are already known exactly.</w:t>
      </w:r>
    </w:p>
    <w:tbl>
      <w:tblPr>
        <w:tblStyle w:val="Style1"/>
        <w:tblW w:w="5000" w:type="pct"/>
        <w:tblLook w:val="04A0" w:firstRow="1" w:lastRow="0" w:firstColumn="1" w:lastColumn="0" w:noHBand="0" w:noVBand="1"/>
      </w:tblPr>
      <w:tblGrid>
        <w:gridCol w:w="2380"/>
        <w:gridCol w:w="7538"/>
      </w:tblGrid>
      <w:tr>
        <w:trPr>
          <w:cnfStyle w:val="100000000000" w:firstRow="1" w:lastRow="0" w:firstColumn="0" w:lastColumn="0" w:oddVBand="0" w:evenVBand="0" w:oddHBand="0" w:evenHBand="0" w:firstRowFirstColumn="0" w:firstRowLastColumn="0" w:lastRowFirstColumn="0" w:lastRowLastColumn="0"/>
          <w:tblHeader/>
          <w:trHeight w:val="397"/>
        </w:trPr>
        <w:tc>
          <w:tcPr>
            <w:tcW w:w="1200" w:type="pct"/>
          </w:tcPr>
          <w:p>
            <w:pPr>
              <w:spacing w:after="0" w:line="240" w:lineRule="auto"/>
            </w:pPr>
            <w:r>
              <w:rPr>
                <w:b/>
                <w:color w:val="FFFFFF" w:themeColor="background1"/>
              </w:rPr>
              <w:t xml:space="preserve">Decision</w:t>
            </w:r>
          </w:p>
        </w:tc>
        <w:tc>
          <w:tcPr>
            <w:tcW w:w="3800" w:type="pct"/>
          </w:tcPr>
          <w:p>
            <w:pPr>
              <w:spacing w:after="0" w:line="240" w:lineRule="auto"/>
            </w:pPr>
            <w:r>
              <w:rPr>
                <w:b/>
                <w:color w:val="FFFFFF" w:themeColor="background1"/>
              </w:rPr>
              <w:t xml:space="preserve">How it is made</w:t>
            </w:r>
          </w:p>
        </w:tc>
      </w:tr>
      <w:tr>
        <w:tc>
          <w:tcPr>
            <w:tcW w:w="1200" w:type="pct"/>
          </w:tcPr>
          <w:p>
            <w:pPr>
              <w:spacing w:after="0" w:line="240" w:lineRule="auto"/>
            </w:pPr>
            <w:r>
              <w:t xml:space="preserve">The join key</w:t>
            </w:r>
          </w:p>
        </w:tc>
        <w:tc>
          <w:tcPr>
            <w:tcW w:w="3800" w:type="pct"/>
          </w:tcPr>
          <w:p>
            <w:pPr>
              <w:spacing w:after="0" w:line="240" w:lineRule="auto"/>
            </w:pPr>
            <w:r>
              <w:t xml:space="preserve">The declared PRIMARY KEY where the project has DDL; failing that, columns both sides share whose names end in _key or _id — flagged inferred, with the duplicate-key check in the same script there to disprove the guess</w:t>
            </w:r>
          </w:p>
        </w:tc>
      </w:tr>
      <w:tr>
        <w:tc>
          <w:tcPr>
            <w:tcW w:w="1200" w:type="pct"/>
          </w:tcPr>
          <w:p>
            <w:pPr>
              <w:spacing w:after="0" w:line="240" w:lineRule="auto"/>
            </w:pPr>
            <w:r>
              <w:t xml:space="preserve">Measures</w:t>
            </w:r>
          </w:p>
        </w:tc>
        <w:tc>
          <w:tcPr>
            <w:tcW w:w="3800" w:type="pct"/>
          </w:tcPr>
          <w:p>
            <w:pPr>
              <w:spacing w:after="0" w:line="240" w:lineRule="auto"/>
            </w:pPr>
            <w:r>
              <w:t xml:space="preserve">Shared columns whose head noun reads as an amount or a quantity. These are totalled on both sides</w:t>
            </w:r>
          </w:p>
        </w:tc>
      </w:tr>
      <w:tr>
        <w:tc>
          <w:tcPr>
            <w:tcW w:w="1200" w:type="pct"/>
          </w:tcPr>
          <w:p>
            <w:pPr>
              <w:spacing w:after="0" w:line="240" w:lineRule="auto"/>
            </w:pPr>
            <w:r>
              <w:t xml:space="preserve">Labels</w:t>
            </w:r>
          </w:p>
        </w:tc>
        <w:tc>
          <w:tcPr>
            <w:tcW w:w="3800" w:type="pct"/>
          </w:tcPr>
          <w:p>
            <w:pPr>
              <w:spacing w:after="0" w:line="240" w:lineRule="auto"/>
            </w:pPr>
            <w:r>
              <w:t xml:space="preserve">A status, type, code, flag, region or period. Compared as sets of values instead, because SUM(status) errors and SUM(fiscal_year) succeeds and reconciles to nothing. Capped per source, filtered-on ones first</w:t>
            </w:r>
          </w:p>
        </w:tc>
      </w:tr>
      <w:tr>
        <w:tc>
          <w:tcPr>
            <w:tcW w:w="1200" w:type="pct"/>
          </w:tcPr>
          <w:p>
            <w:pPr>
              <w:spacing w:after="0" w:line="240" w:lineRule="auto"/>
            </w:pPr>
            <w:r>
              <w:t xml:space="preserve">Expected loss</w:t>
            </w:r>
          </w:p>
        </w:tc>
        <w:tc>
          <w:tcPr>
            <w:tcW w:w="3800" w:type="pct"/>
          </w:tcPr>
          <w:p>
            <w:pPr>
              <w:spacing w:after="0" w:line="240" w:lineRule="auto"/>
            </w:pPr>
            <w:r>
              <w:t xml:space="preserve">The WHERE predicate the transformation itself applies, quoted in the script header as the difference a count check is expected to show</w:t>
            </w:r>
          </w:p>
        </w:tc>
      </w:tr>
    </w:tbl>
    <w:p>
      <w:pPr>
        <w:spacing w:after="0" w:line="240" w:lineRule="auto"/>
      </w:pPr>
    </w:p>
    <w:p>
      <w:r>
        <w:t xml:space="preserve">Emitted SQL is portable — no TOP, no LIMIT — so it runs on SQL Server and Databricks SQL alike. That is also why the label check full-outer-joins the two value sets on an equi-key with NULLs excluded beforehand: Spark refuses a full outer join whose condition is not an equality.</w:t>
      </w:r>
    </w:p>
    <w:p>
      <w:pPr>
        <w:pStyle w:val="Heading2"/>
      </w:pPr>
      <w:r>
        <w:t xml:space="preserve">Where the model is used, and where it is not</w:t>
      </w:r>
    </w:p>
    <w:tbl>
      <w:tblPr>
        <w:tblStyle w:val="Style1"/>
        <w:tblW w:w="5000" w:type="pct"/>
        <w:tblLook w:val="04A0" w:firstRow="1" w:lastRow="0" w:firstColumn="1" w:lastColumn="0" w:noHBand="0" w:noVBand="1"/>
      </w:tblPr>
      <w:tblGrid>
        <w:gridCol w:w="3372"/>
        <w:gridCol w:w="1389"/>
        <w:gridCol w:w="5157"/>
      </w:tblGrid>
      <w:tr>
        <w:trPr>
          <w:cnfStyle w:val="100000000000" w:firstRow="1" w:lastRow="0" w:firstColumn="0" w:lastColumn="0" w:oddVBand="0" w:evenVBand="0" w:oddHBand="0" w:evenHBand="0" w:firstRowFirstColumn="0" w:firstRowLastColumn="0" w:lastRowFirstColumn="0" w:lastRowLastColumn="0"/>
          <w:tblHeader/>
          <w:trHeight w:val="397"/>
        </w:trPr>
        <w:tc>
          <w:tcPr>
            <w:tcW w:w="1700" w:type="pct"/>
          </w:tcPr>
          <w:p>
            <w:pPr>
              <w:spacing w:after="0" w:line="240" w:lineRule="auto"/>
            </w:pPr>
            <w:r>
              <w:rPr>
                <w:b/>
                <w:color w:val="FFFFFF" w:themeColor="background1"/>
              </w:rPr>
              <w:t xml:space="preserve">Step</w:t>
            </w:r>
          </w:p>
        </w:tc>
        <w:tc>
          <w:tcPr>
            <w:tcW w:w="700" w:type="pct"/>
          </w:tcPr>
          <w:p>
            <w:pPr>
              <w:spacing w:after="0" w:line="240" w:lineRule="auto"/>
            </w:pPr>
            <w:r>
              <w:rPr>
                <w:b/>
                <w:color w:val="FFFFFF" w:themeColor="background1"/>
              </w:rPr>
              <w:t xml:space="preserve">Model?</w:t>
            </w:r>
          </w:p>
        </w:tc>
        <w:tc>
          <w:tcPr>
            <w:tcW w:w="2600" w:type="pct"/>
          </w:tcPr>
          <w:p>
            <w:pPr>
              <w:spacing w:after="0" w:line="240" w:lineRule="auto"/>
            </w:pPr>
            <w:r>
              <w:rPr>
                <w:b/>
                <w:color w:val="FFFFFF" w:themeColor="background1"/>
              </w:rPr>
              <w:t xml:space="preserve">Why</w:t>
            </w:r>
          </w:p>
        </w:tc>
      </w:tr>
      <w:tr>
        <w:tc>
          <w:tcPr>
            <w:tcW w:w="1700" w:type="pct"/>
          </w:tcPr>
          <w:p>
            <w:pPr>
              <w:spacing w:after="0" w:line="240" w:lineRule="auto"/>
            </w:pPr>
            <w:r>
              <w:t xml:space="preserve">Lineage extraction</w:t>
            </w:r>
          </w:p>
        </w:tc>
        <w:tc>
          <w:tcPr>
            <w:tcW w:w="700" w:type="pct"/>
          </w:tcPr>
          <w:p>
            <w:pPr>
              <w:spacing w:after="0" w:line="240" w:lineRule="auto"/>
            </w:pPr>
            <w:r>
              <w:t xml:space="preserve">No</w:t>
            </w:r>
          </w:p>
        </w:tc>
        <w:tc>
          <w:tcPr>
            <w:tcW w:w="2600" w:type="pct"/>
          </w:tcPr>
          <w:p>
            <w:pPr>
              <w:spacing w:after="0" w:line="240" w:lineRule="auto"/>
            </w:pPr>
            <w:r>
              <w:t xml:space="preserve">Parsed from the SQL; a graph has to be reproducible</w:t>
            </w:r>
          </w:p>
        </w:tc>
      </w:tr>
      <w:tr>
        <w:tc>
          <w:tcPr>
            <w:tcW w:w="1700" w:type="pct"/>
          </w:tcPr>
          <w:p>
            <w:pPr>
              <w:spacing w:after="0" w:line="240" w:lineRule="auto"/>
            </w:pPr>
            <w:r>
              <w:t xml:space="preserve">Layer detection</w:t>
            </w:r>
          </w:p>
        </w:tc>
        <w:tc>
          <w:tcPr>
            <w:tcW w:w="700" w:type="pct"/>
          </w:tcPr>
          <w:p>
            <w:pPr>
              <w:spacing w:after="0" w:line="240" w:lineRule="auto"/>
            </w:pPr>
            <w:r>
              <w:t xml:space="preserve">No</w:t>
            </w:r>
          </w:p>
        </w:tc>
        <w:tc>
          <w:tcPr>
            <w:tcW w:w="2600" w:type="pct"/>
          </w:tcPr>
          <w:p>
            <w:pPr>
              <w:spacing w:after="0" w:line="240" w:lineRule="auto"/>
            </w:pPr>
            <w:r>
              <w:t xml:space="preserve">Keyword matching on schema names, correctable by hand</w:t>
            </w:r>
          </w:p>
        </w:tc>
      </w:tr>
      <w:tr>
        <w:tc>
          <w:tcPr>
            <w:tcW w:w="1700" w:type="pct"/>
          </w:tcPr>
          <w:p>
            <w:pPr>
              <w:spacing w:after="0" w:line="240" w:lineRule="auto"/>
            </w:pPr>
            <w:r>
              <w:t xml:space="preserve">The standard checks</w:t>
            </w:r>
          </w:p>
        </w:tc>
        <w:tc>
          <w:tcPr>
            <w:tcW w:w="700" w:type="pct"/>
          </w:tcPr>
          <w:p>
            <w:pPr>
              <w:spacing w:after="0" w:line="240" w:lineRule="auto"/>
            </w:pPr>
            <w:r>
              <w:t xml:space="preserve">No</w:t>
            </w:r>
          </w:p>
        </w:tc>
        <w:tc>
          <w:tcPr>
            <w:tcW w:w="2600" w:type="pct"/>
          </w:tcPr>
          <w:p>
            <w:pPr>
              <w:spacing w:after="0" w:line="240" w:lineRule="auto"/>
            </w:pPr>
            <w:r>
              <w:t xml:space="preserve">Derived from columns that are already known exactly</w:t>
            </w:r>
          </w:p>
        </w:tc>
      </w:tr>
      <w:tr>
        <w:tc>
          <w:tcPr>
            <w:tcW w:w="1700" w:type="pct"/>
          </w:tcPr>
          <w:p>
            <w:pPr>
              <w:spacing w:after="0" w:line="240" w:lineRule="auto"/>
            </w:pPr>
            <w:r>
              <w:t xml:space="preserve">Extra checks per target</w:t>
            </w:r>
          </w:p>
        </w:tc>
        <w:tc>
          <w:tcPr>
            <w:tcW w:w="700" w:type="pct"/>
          </w:tcPr>
          <w:p>
            <w:pPr>
              <w:spacing w:after="0" w:line="240" w:lineRule="auto"/>
            </w:pPr>
            <w:r>
              <w:t xml:space="preserve">Yes</w:t>
            </w:r>
          </w:p>
        </w:tc>
        <w:tc>
          <w:tcPr>
            <w:tcW w:w="2600" w:type="pct"/>
          </w:tcPr>
          <w:p>
            <w:pPr>
              <w:spacing w:after="0" w:line="240" w:lineRule="auto"/>
            </w:pPr>
            <w:r>
              <w:t xml:space="preserve">Only what reading the transformation can reveal — grain changes, dedup, fan-out</w:t>
            </w:r>
          </w:p>
        </w:tc>
      </w:tr>
      <w:tr>
        <w:tc>
          <w:tcPr>
            <w:tcW w:w="1700" w:type="pct"/>
          </w:tcPr>
          <w:p>
            <w:pPr>
              <w:spacing w:after="0" w:line="240" w:lineRule="auto"/>
            </w:pPr>
            <w:r>
              <w:t xml:space="preserve">Mismatch explanation, fix suggestions</w:t>
            </w:r>
          </w:p>
        </w:tc>
        <w:tc>
          <w:tcPr>
            <w:tcW w:w="700" w:type="pct"/>
          </w:tcPr>
          <w:p>
            <w:pPr>
              <w:spacing w:after="0" w:line="240" w:lineRule="auto"/>
            </w:pPr>
            <w:r>
              <w:t xml:space="preserve">Yes</w:t>
            </w:r>
          </w:p>
        </w:tc>
        <w:tc>
          <w:tcPr>
            <w:tcW w:w="2600" w:type="pct"/>
          </w:tcPr>
          <w:p>
            <w:pPr>
              <w:spacing w:after="0" w:line="240" w:lineRule="auto"/>
            </w:pPr>
            <w:r>
              <w:t xml:space="preserve">Flows 2–5; grounded in live counts when a warehouse is available</w:t>
            </w:r>
          </w:p>
        </w:tc>
      </w:tr>
      <w:tr>
        <w:tc>
          <w:tcPr>
            <w:tcW w:w="1700" w:type="pct"/>
          </w:tcPr>
          <w:p>
            <w:pPr>
              <w:spacing w:after="0" w:line="240" w:lineRule="auto"/>
            </w:pPr>
            <w:r>
              <w:t xml:space="preserve">Document prose</w:t>
            </w:r>
          </w:p>
        </w:tc>
        <w:tc>
          <w:tcPr>
            <w:tcW w:w="700" w:type="pct"/>
          </w:tcPr>
          <w:p>
            <w:pPr>
              <w:spacing w:after="0" w:line="240" w:lineRule="auto"/>
            </w:pPr>
            <w:r>
              <w:t xml:space="preserve">Yes</w:t>
            </w:r>
          </w:p>
        </w:tc>
        <w:tc>
          <w:tcPr>
            <w:tcW w:w="2600" w:type="pct"/>
          </w:tcPr>
          <w:p>
            <w:pPr>
              <w:spacing w:after="0" w:line="240" w:lineRule="auto"/>
            </w:pPr>
            <w:r>
              <w:t xml:space="preserve">The one thing the SQL cannot state: what each layer and hop is for</w:t>
            </w:r>
          </w:p>
        </w:tc>
      </w:tr>
      <w:tr>
        <w:tc>
          <w:tcPr>
            <w:tcW w:w="1700" w:type="pct"/>
          </w:tcPr>
          <w:p>
            <w:pPr>
              <w:spacing w:after="0" w:line="240" w:lineRule="auto"/>
            </w:pPr>
            <w:r>
              <w:t xml:space="preserve">Diagrams</w:t>
            </w:r>
          </w:p>
        </w:tc>
        <w:tc>
          <w:tcPr>
            <w:tcW w:w="700" w:type="pct"/>
          </w:tcPr>
          <w:p>
            <w:pPr>
              <w:spacing w:after="0" w:line="240" w:lineRule="auto"/>
            </w:pPr>
            <w:r>
              <w:t xml:space="preserve">No</w:t>
            </w:r>
          </w:p>
        </w:tc>
        <w:tc>
          <w:tcPr>
            <w:tcW w:w="2600" w:type="pct"/>
          </w:tcPr>
          <w:p>
            <w:pPr>
              <w:spacing w:after="0" w:line="240" w:lineRule="auto"/>
            </w:pPr>
            <w:r>
              <w:t xml:space="preserve">Shapes are derived from the graph — the one command that cannot degrade</w:t>
            </w:r>
          </w:p>
        </w:tc>
      </w:tr>
    </w:tbl>
    <w:p>
      <w:pPr>
        <w:spacing w:after="0" w:line="240" w:lineRule="auto"/>
      </w:pPr>
    </w:p>
    <w:p>
      <w:r>
        <w:t xml:space="preserve">No flow sends whole notebooks or files to Azure OpenAI. Only the specific extracted cell or statement snippets go, kept small deliberately. Every model step degrades rather than fails: with no Azure OpenAI configured you get the derived checks and a document without prose.</w:t>
      </w:r>
    </w:p>
    <w:p>
      <w:r>
        <w:br w:type="page"/>
      </w:r>
    </w:p>
    <w:p>
      <w:pPr>
        <w:pStyle w:val="Heading1"/>
      </w:pPr>
      <w:r>
        <w:t xml:space="preserve">The analysis flows</w:t>
      </w:r>
    </w:p>
    <w:p>
      <w:r>
        <w:t xml:space="preserve">Seven flows share the parsing layer but solve different problems. All are mounted; the UI surfaces flows 5 and 6, and the rest are reachable over the API and reused as services rather than duplicated.</w:t>
      </w:r>
    </w:p>
    <w:tbl>
      <w:tblPr>
        <w:tblStyle w:val="Style1"/>
        <w:tblW w:w="5000" w:type="pct"/>
        <w:tblLook w:val="04A0" w:firstRow="1" w:lastRow="0" w:firstColumn="1" w:lastColumn="0" w:noHBand="0" w:noVBand="1"/>
      </w:tblPr>
      <w:tblGrid>
        <w:gridCol w:w="496"/>
        <w:gridCol w:w="2480"/>
        <w:gridCol w:w="2678"/>
        <w:gridCol w:w="4265"/>
      </w:tblGrid>
      <w:tr>
        <w:trPr>
          <w:cnfStyle w:val="100000000000" w:firstRow="1" w:lastRow="0" w:firstColumn="0" w:lastColumn="0" w:oddVBand="0" w:evenVBand="0" w:oddHBand="0" w:evenHBand="0" w:firstRowFirstColumn="0" w:firstRowLastColumn="0" w:lastRowFirstColumn="0" w:lastRowLastColumn="0"/>
          <w:tblHeader/>
          <w:trHeight w:val="397"/>
        </w:trPr>
        <w:tc>
          <w:tcPr>
            <w:tcW w:w="250" w:type="pct"/>
          </w:tcPr>
          <w:p>
            <w:pPr>
              <w:spacing w:after="0" w:line="240" w:lineRule="auto"/>
            </w:pPr>
            <w:r>
              <w:rPr>
                <w:b/>
                <w:color w:val="FFFFFF" w:themeColor="background1"/>
              </w:rPr>
              <w:t xml:space="preserve">#</w:t>
            </w:r>
          </w:p>
        </w:tc>
        <w:tc>
          <w:tcPr>
            <w:tcW w:w="1250" w:type="pct"/>
          </w:tcPr>
          <w:p>
            <w:pPr>
              <w:spacing w:after="0" w:line="240" w:lineRule="auto"/>
            </w:pPr>
            <w:r>
              <w:rPr>
                <w:b/>
                <w:color w:val="FFFFFF" w:themeColor="background1"/>
              </w:rPr>
              <w:t xml:space="preserve">Flow</w:t>
            </w:r>
          </w:p>
        </w:tc>
        <w:tc>
          <w:tcPr>
            <w:tcW w:w="1350" w:type="pct"/>
          </w:tcPr>
          <w:p>
            <w:pPr>
              <w:spacing w:after="0" w:line="240" w:lineRule="auto"/>
            </w:pPr>
            <w:r>
              <w:rPr>
                <w:b/>
                <w:color w:val="FFFFFF" w:themeColor="background1"/>
              </w:rPr>
              <w:t xml:space="preserve">Reached by</w:t>
            </w:r>
          </w:p>
        </w:tc>
        <w:tc>
          <w:tcPr>
            <w:tcW w:w="2150" w:type="pct"/>
          </w:tcPr>
          <w:p>
            <w:pPr>
              <w:spacing w:after="0" w:line="240" w:lineRule="auto"/>
            </w:pPr>
            <w:r>
              <w:rPr>
                <w:b/>
                <w:color w:val="FFFFFF" w:themeColor="background1"/>
              </w:rPr>
              <w:t xml:space="preserve">What it answers</w:t>
            </w:r>
          </w:p>
        </w:tc>
      </w:tr>
      <w:tr>
        <w:tc>
          <w:tcPr>
            <w:tcW w:w="250" w:type="pct"/>
          </w:tcPr>
          <w:p>
            <w:pPr>
              <w:spacing w:after="0" w:line="240" w:lineRule="auto"/>
            </w:pPr>
            <w:r>
              <w:t xml:space="preserve">1</w:t>
            </w:r>
          </w:p>
        </w:tc>
        <w:tc>
          <w:tcPr>
            <w:tcW w:w="1250" w:type="pct"/>
          </w:tcPr>
          <w:p>
            <w:pPr>
              <w:spacing w:after="0" w:line="240" w:lineRule="auto"/>
            </w:pPr>
            <w:r>
              <w:t xml:space="preserve">Cross-notebook reconciliation</w:t>
            </w:r>
          </w:p>
        </w:tc>
        <w:tc>
          <w:tcPr>
            <w:tcW w:w="1350" w:type="pct"/>
          </w:tcPr>
          <w:p>
            <w:pPr>
              <w:spacing w:after="0" w:line="240" w:lineRule="auto"/>
            </w:pPr>
            <w:r>
              <w:rPr>
                <w:rFonts w:ascii="Consolas" w:hAnsi="Consolas" w:cs="Consolas"/>
                <w:sz w:val="17"/>
              </w:rPr>
              <w:t xml:space="preserve">/api/notebooks, /api/reconcile</w:t>
            </w:r>
          </w:p>
        </w:tc>
        <w:tc>
          <w:tcPr>
            <w:tcW w:w="2150" w:type="pct"/>
          </w:tcPr>
          <w:p>
            <w:pPr>
              <w:spacing w:after="0" w:line="240" w:lineRule="auto"/>
            </w:pPr>
            <w:r>
              <w:t xml:space="preserve">Which notebooks are forks of each other, and where has their logic actually diverged?</w:t>
            </w:r>
          </w:p>
        </w:tc>
      </w:tr>
      <w:tr>
        <w:tc>
          <w:tcPr>
            <w:tcW w:w="250" w:type="pct"/>
          </w:tcPr>
          <w:p>
            <w:pPr>
              <w:spacing w:after="0" w:line="240" w:lineRule="auto"/>
            </w:pPr>
            <w:r>
              <w:t xml:space="preserve">2</w:t>
            </w:r>
          </w:p>
        </w:tc>
        <w:tc>
          <w:tcPr>
            <w:tcW w:w="1250" w:type="pct"/>
          </w:tcPr>
          <w:p>
            <w:pPr>
              <w:spacing w:after="0" w:line="240" w:lineRule="auto"/>
            </w:pPr>
            <w:r>
              <w:t xml:space="preserve">Medallion stage comparison</w:t>
            </w:r>
          </w:p>
        </w:tc>
        <w:tc>
          <w:tcPr>
            <w:tcW w:w="1350" w:type="pct"/>
          </w:tcPr>
          <w:p>
            <w:pPr>
              <w:spacing w:after="0" w:line="240" w:lineRule="auto"/>
            </w:pPr>
            <w:r>
              <w:rPr>
                <w:rFonts w:ascii="Consolas" w:hAnsi="Consolas" w:cs="Consolas"/>
                <w:sz w:val="17"/>
              </w:rPr>
              <w:t xml:space="preserve">/api/bronze-silver</w:t>
            </w:r>
          </w:p>
        </w:tc>
        <w:tc>
          <w:tcPr>
            <w:tcW w:w="2150" w:type="pct"/>
          </w:tcPr>
          <w:p>
            <w:pPr>
              <w:spacing w:after="0" w:line="240" w:lineRule="auto"/>
            </w:pPr>
            <w:r>
              <w:t xml:space="preserve">Do same-named tables in adjacent schemas have the same row count — and if not, which code did it?</w:t>
            </w:r>
          </w:p>
        </w:tc>
      </w:tr>
      <w:tr>
        <w:tc>
          <w:tcPr>
            <w:tcW w:w="250" w:type="pct"/>
          </w:tcPr>
          <w:p>
            <w:pPr>
              <w:spacing w:after="0" w:line="240" w:lineRule="auto"/>
            </w:pPr>
            <w:r>
              <w:t xml:space="preserve">3</w:t>
            </w:r>
          </w:p>
        </w:tc>
        <w:tc>
          <w:tcPr>
            <w:tcW w:w="1250" w:type="pct"/>
          </w:tcPr>
          <w:p>
            <w:pPr>
              <w:spacing w:after="0" w:line="240" w:lineRule="auto"/>
            </w:pPr>
            <w:r>
              <w:t xml:space="preserve">Lineage / fan-out discovery</w:t>
            </w:r>
          </w:p>
        </w:tc>
        <w:tc>
          <w:tcPr>
            <w:tcW w:w="1350" w:type="pct"/>
          </w:tcPr>
          <w:p>
            <w:pPr>
              <w:spacing w:after="0" w:line="240" w:lineRule="auto"/>
            </w:pPr>
            <w:r>
              <w:rPr>
                <w:rFonts w:ascii="Consolas" w:hAnsi="Consolas" w:cs="Consolas"/>
                <w:sz w:val="17"/>
              </w:rPr>
              <w:t xml:space="preserve">/api/lineage</w:t>
            </w:r>
          </w:p>
        </w:tc>
        <w:tc>
          <w:tcPr>
            <w:tcW w:w="2150" w:type="pct"/>
          </w:tcPr>
          <w:p>
            <w:pPr>
              <w:spacing w:after="0" w:line="240" w:lineRule="auto"/>
            </w:pPr>
            <w:r>
              <w:t xml:space="preserve">What reads this table, and what does it write as a result?</w:t>
            </w:r>
          </w:p>
        </w:tc>
      </w:tr>
      <w:tr>
        <w:tc>
          <w:tcPr>
            <w:tcW w:w="250" w:type="pct"/>
          </w:tcPr>
          <w:p>
            <w:pPr>
              <w:spacing w:after="0" w:line="240" w:lineRule="auto"/>
            </w:pPr>
            <w:r>
              <w:t xml:space="preserve">4</w:t>
            </w:r>
          </w:p>
        </w:tc>
        <w:tc>
          <w:tcPr>
            <w:tcW w:w="1250" w:type="pct"/>
          </w:tcPr>
          <w:p>
            <w:pPr>
              <w:spacing w:after="0" w:line="240" w:lineRule="auto"/>
            </w:pPr>
            <w:r>
              <w:t xml:space="preserve">Intent vs. implementation</w:t>
            </w:r>
          </w:p>
        </w:tc>
        <w:tc>
          <w:tcPr>
            <w:tcW w:w="1350" w:type="pct"/>
          </w:tcPr>
          <w:p>
            <w:pPr>
              <w:spacing w:after="0" w:line="240" w:lineRule="auto"/>
            </w:pPr>
            <w:r>
              <w:rPr>
                <w:rFonts w:ascii="Consolas" w:hAnsi="Consolas" w:cs="Consolas"/>
                <w:sz w:val="17"/>
              </w:rPr>
              <w:t xml:space="preserve">/api/validate-logic</w:t>
            </w:r>
          </w:p>
        </w:tc>
        <w:tc>
          <w:tcPr>
            <w:tcW w:w="2150" w:type="pct"/>
          </w:tcPr>
          <w:p>
            <w:pPr>
              <w:spacing w:after="0" w:line="240" w:lineRule="auto"/>
            </w:pPr>
            <w:r>
              <w:t xml:space="preserve">Does the code that writes this table actually implement the stated business rule?</w:t>
            </w:r>
          </w:p>
        </w:tc>
      </w:tr>
      <w:tr>
        <w:tc>
          <w:tcPr>
            <w:tcW w:w="250" w:type="pct"/>
          </w:tcPr>
          <w:p>
            <w:pPr>
              <w:spacing w:after="0" w:line="240" w:lineRule="auto"/>
            </w:pPr>
            <w:r>
              <w:t xml:space="preserve">5</w:t>
            </w:r>
          </w:p>
        </w:tc>
        <w:tc>
          <w:tcPr>
            <w:tcW w:w="1250" w:type="pct"/>
          </w:tcPr>
          <w:p>
            <w:pPr>
              <w:spacing w:after="0" w:line="240" w:lineRule="auto"/>
            </w:pPr>
            <w:r>
              <w:t xml:space="preserve">Level-by-level review</w:t>
            </w:r>
          </w:p>
        </w:tc>
        <w:tc>
          <w:tcPr>
            <w:tcW w:w="1350" w:type="pct"/>
          </w:tcPr>
          <w:p>
            <w:pPr>
              <w:spacing w:after="0" w:line="240" w:lineRule="auto"/>
            </w:pPr>
            <w:r>
              <w:rPr>
                <w:rFonts w:ascii="Consolas" w:hAnsi="Consolas" w:cs="Consolas"/>
                <w:sz w:val="17"/>
              </w:rPr>
              <w:t xml:space="preserve">/api/levels/analyze, /fixes</w:t>
            </w:r>
          </w:p>
        </w:tc>
        <w:tc>
          <w:tcPr>
            <w:tcW w:w="2150" w:type="pct"/>
          </w:tcPr>
          <w:p>
            <w:pPr>
              <w:spacing w:after="0" w:line="240" w:lineRule="auto"/>
            </w:pPr>
            <w:r>
              <w:t xml:space="preserve">For one hop and the notebooks responsible for it: what could break reconciliation, and what is the fix?</w:t>
            </w:r>
          </w:p>
        </w:tc>
      </w:tr>
      <w:tr>
        <w:tc>
          <w:tcPr>
            <w:tcW w:w="250" w:type="pct"/>
          </w:tcPr>
          <w:p>
            <w:pPr>
              <w:spacing w:after="0" w:line="240" w:lineRule="auto"/>
            </w:pPr>
            <w:r>
              <w:t xml:space="preserve">6</w:t>
            </w:r>
          </w:p>
        </w:tc>
        <w:tc>
          <w:tcPr>
            <w:tcW w:w="1250" w:type="pct"/>
          </w:tcPr>
          <w:p>
            <w:pPr>
              <w:spacing w:after="0" w:line="240" w:lineRule="auto"/>
            </w:pPr>
            <w:r>
              <w:t xml:space="preserve">Local SQL folder analysis</w:t>
            </w:r>
          </w:p>
        </w:tc>
        <w:tc>
          <w:tcPr>
            <w:tcW w:w="1350" w:type="pct"/>
          </w:tcPr>
          <w:p>
            <w:pPr>
              <w:spacing w:after="0" w:line="240" w:lineRule="auto"/>
            </w:pPr>
            <w:r>
              <w:rPr>
                <w:rFonts w:ascii="Consolas" w:hAnsi="Consolas" w:cs="Consolas"/>
                <w:sz w:val="17"/>
              </w:rPr>
              <w:t xml:space="preserve">/api/local</w:t>
            </w:r>
          </w:p>
        </w:tc>
        <w:tc>
          <w:tcPr>
            <w:tcW w:w="2150" w:type="pct"/>
          </w:tcPr>
          <w:p>
            <w:pPr>
              <w:spacing w:after="0" w:line="240" w:lineRule="auto"/>
            </w:pPr>
            <w:r>
              <w:t xml:space="preserve">Everything above, from a folder of .sql files with no workspace at all</w:t>
            </w:r>
          </w:p>
        </w:tc>
      </w:tr>
      <w:tr>
        <w:tc>
          <w:tcPr>
            <w:tcW w:w="250" w:type="pct"/>
          </w:tcPr>
          <w:p>
            <w:pPr>
              <w:spacing w:after="0" w:line="240" w:lineRule="auto"/>
            </w:pPr>
            <w:r>
              <w:t xml:space="preserve">7</w:t>
            </w:r>
          </w:p>
        </w:tc>
        <w:tc>
          <w:tcPr>
            <w:tcW w:w="1250" w:type="pct"/>
          </w:tcPr>
          <w:p>
            <w:pPr>
              <w:spacing w:after="0" w:line="240" w:lineRule="auto"/>
            </w:pPr>
            <w:r>
              <w:t xml:space="preserve">The run, written up</w:t>
            </w:r>
          </w:p>
        </w:tc>
        <w:tc>
          <w:tcPr>
            <w:tcW w:w="1350" w:type="pct"/>
          </w:tcPr>
          <w:p>
            <w:pPr>
              <w:spacing w:after="0" w:line="240" w:lineRule="auto"/>
            </w:pPr>
            <w:r>
              <w:rPr>
                <w:rFonts w:ascii="Consolas" w:hAnsi="Consolas" w:cs="Consolas"/>
                <w:sz w:val="17"/>
              </w:rPr>
              <w:t xml:space="preserve">reconcile document</w:t>
            </w:r>
          </w:p>
        </w:tc>
        <w:tc>
          <w:tcPr>
            <w:tcW w:w="2150" w:type="pct"/>
          </w:tcPr>
          <w:p>
            <w:pPr>
              <w:spacing w:after="0" w:line="240" w:lineRule="auto"/>
            </w:pPr>
            <w:r>
              <w:t xml:space="preserve">What does this pipeline do, and how is it reconciled — as a document a reader can be handed</w:t>
            </w:r>
          </w:p>
        </w:tc>
      </w:tr>
    </w:tbl>
    <w:p>
      <w:pPr>
        <w:spacing w:after="0" w:line="240" w:lineRule="auto"/>
      </w:pPr>
    </w:p>
    <w:p>
      <w:r>
        <w:t xml:space="preserve">Flows 1–5 go through the requireConnection middleware, which returns 409 when no Databricks connection is established. Flow 6 sits deliberately outside it, because its whole point is working with no workspace. Flow 7 has no route at all — it is CLI-only.</w:t>
      </w:r>
    </w:p>
    <w:p>
      <w:r>
        <w:br w:type="page"/>
      </w:r>
    </w:p>
    <w:p>
      <w:pPr>
        <w:pStyle w:val="Heading1"/>
      </w:pPr>
      <w:r>
        <w:t xml:space="preserve">What gets generated</w:t>
      </w:r>
    </w:p>
    <w:p>
      <w:pPr>
        <w:pStyle w:val="Heading2"/>
      </w:pPr>
      <w:r>
        <w:t xml:space="preserve">governance/ — the reconciliation</w:t>
      </w:r>
    </w:p>
    <w:p>
      <w:r>
        <w:t xml:space="preserve">One .sql per hop by default, each the hop's whole reconciliation as a single query. --split also writes the per-table scripts behind it; --one-file folds every hop into one file instead. The bundle is the file to run; the scripts are the detail behind it, and the row-listing queries the fold turns into counts are repeated at the foot of the bundle inside block comments.</w:t>
      </w:r>
    </w:p>
    <w:p>
      <w:r>
        <w:t xml:space="preserve">Every bundle returns the same ten columns, one row per check:</w:t>
      </w:r>
    </w:p>
    <w:tbl>
      <w:tblPr>
        <w:tblStyle w:val="Style1"/>
        <w:tblW w:w="5000" w:type="pct"/>
        <w:tblLook w:val="04A0" w:firstRow="1" w:lastRow="0" w:firstColumn="1" w:lastColumn="0" w:noHBand="0" w:noVBand="1"/>
      </w:tblPr>
      <w:tblGrid>
        <w:gridCol w:w="2380"/>
        <w:gridCol w:w="7538"/>
      </w:tblGrid>
      <w:tr>
        <w:trPr>
          <w:cnfStyle w:val="100000000000" w:firstRow="1" w:lastRow="0" w:firstColumn="0" w:lastColumn="0" w:oddVBand="0" w:evenVBand="0" w:oddHBand="0" w:evenHBand="0" w:firstRowFirstColumn="0" w:firstRowLastColumn="0" w:lastRowFirstColumn="0" w:lastRowLastColumn="0"/>
          <w:tblHeader/>
          <w:trHeight w:val="397"/>
        </w:trPr>
        <w:tc>
          <w:tcPr>
            <w:tcW w:w="1200" w:type="pct"/>
          </w:tcPr>
          <w:p>
            <w:pPr>
              <w:spacing w:after="0" w:line="240" w:lineRule="auto"/>
            </w:pPr>
            <w:r>
              <w:rPr>
                <w:b/>
                <w:color w:val="FFFFFF" w:themeColor="background1"/>
              </w:rPr>
              <w:t xml:space="preserve">Column</w:t>
            </w:r>
          </w:p>
        </w:tc>
        <w:tc>
          <w:tcPr>
            <w:tcW w:w="3800" w:type="pct"/>
          </w:tcPr>
          <w:p>
            <w:pPr>
              <w:spacing w:after="0" w:line="240" w:lineRule="auto"/>
            </w:pPr>
            <w:r>
              <w:rPr>
                <w:b/>
                <w:color w:val="FFFFFF" w:themeColor="background1"/>
              </w:rPr>
              <w:t xml:space="preserve">Meaning</w:t>
            </w:r>
          </w:p>
        </w:tc>
      </w:tr>
      <w:tr>
        <w:tc>
          <w:tcPr>
            <w:tcW w:w="1200" w:type="pct"/>
          </w:tcPr>
          <w:p>
            <w:pPr>
              <w:spacing w:after="0" w:line="240" w:lineRule="auto"/>
            </w:pPr>
            <w:r>
              <w:rPr>
                <w:rFonts w:ascii="Consolas" w:hAnsi="Consolas" w:cs="Consolas"/>
                <w:sz w:val="17"/>
              </w:rPr>
              <w:t xml:space="preserve">check_seq</w:t>
            </w:r>
          </w:p>
        </w:tc>
        <w:tc>
          <w:tcPr>
            <w:tcW w:w="3800" w:type="pct"/>
          </w:tcPr>
          <w:p>
            <w:pPr>
              <w:spacing w:after="0" w:line="240" w:lineRule="auto"/>
            </w:pPr>
            <w:r>
              <w:t xml:space="preserve">Ordering, so the result reads top to bottom in the order the checks were written</w:t>
            </w:r>
          </w:p>
        </w:tc>
      </w:tr>
      <w:tr>
        <w:tc>
          <w:tcPr>
            <w:tcW w:w="1200" w:type="pct"/>
          </w:tcPr>
          <w:p>
            <w:pPr>
              <w:spacing w:after="0" w:line="240" w:lineRule="auto"/>
            </w:pPr>
            <w:r>
              <w:rPr>
                <w:rFonts w:ascii="Consolas" w:hAnsi="Consolas" w:cs="Consolas"/>
                <w:sz w:val="17"/>
              </w:rPr>
              <w:t xml:space="preserve">scope</w:t>
            </w:r>
          </w:p>
        </w:tc>
        <w:tc>
          <w:tcPr>
            <w:tcW w:w="3800" w:type="pct"/>
          </w:tcPr>
          <w:p>
            <w:pPr>
              <w:spacing w:after="0" w:line="240" w:lineRule="auto"/>
            </w:pPr>
            <w:r>
              <w:t xml:space="preserve">The hop this row belongs to — the only column that matters under --one-file</w:t>
            </w:r>
          </w:p>
        </w:tc>
      </w:tr>
      <w:tr>
        <w:tc>
          <w:tcPr>
            <w:tcW w:w="1200" w:type="pct"/>
          </w:tcPr>
          <w:p>
            <w:pPr>
              <w:spacing w:after="0" w:line="240" w:lineRule="auto"/>
            </w:pPr>
            <w:r>
              <w:rPr>
                <w:rFonts w:ascii="Consolas" w:hAnsi="Consolas" w:cs="Consolas"/>
                <w:sz w:val="17"/>
              </w:rPr>
              <w:t xml:space="preserve">target_table</w:t>
            </w:r>
          </w:p>
        </w:tc>
        <w:tc>
          <w:tcPr>
            <w:tcW w:w="3800" w:type="pct"/>
          </w:tcPr>
          <w:p>
            <w:pPr>
              <w:spacing w:after="0" w:line="240" w:lineRule="auto"/>
            </w:pPr>
            <w:r>
              <w:t xml:space="preserve">The table being reconciled</w:t>
            </w:r>
          </w:p>
        </w:tc>
      </w:tr>
      <w:tr>
        <w:tc>
          <w:tcPr>
            <w:tcW w:w="1200" w:type="pct"/>
          </w:tcPr>
          <w:p>
            <w:pPr>
              <w:spacing w:after="0" w:line="240" w:lineRule="auto"/>
            </w:pPr>
            <w:r>
              <w:rPr>
                <w:rFonts w:ascii="Consolas" w:hAnsi="Consolas" w:cs="Consolas"/>
                <w:sz w:val="17"/>
              </w:rPr>
              <w:t xml:space="preserve">source_table</w:t>
            </w:r>
          </w:p>
        </w:tc>
        <w:tc>
          <w:tcPr>
            <w:tcW w:w="3800" w:type="pct"/>
          </w:tcPr>
          <w:p>
            <w:pPr>
              <w:spacing w:after="0" w:line="240" w:lineRule="auto"/>
            </w:pPr>
            <w:r>
              <w:t xml:space="preserve">The table it is being reconciled against</w:t>
            </w:r>
          </w:p>
        </w:tc>
      </w:tr>
      <w:tr>
        <w:tc>
          <w:tcPr>
            <w:tcW w:w="1200" w:type="pct"/>
          </w:tcPr>
          <w:p>
            <w:pPr>
              <w:spacing w:after="0" w:line="240" w:lineRule="auto"/>
            </w:pPr>
            <w:r>
              <w:rPr>
                <w:rFonts w:ascii="Consolas" w:hAnsi="Consolas" w:cs="Consolas"/>
                <w:sz w:val="17"/>
              </w:rPr>
              <w:t xml:space="preserve">check_name</w:t>
            </w:r>
          </w:p>
        </w:tc>
        <w:tc>
          <w:tcPr>
            <w:tcW w:w="3800" w:type="pct"/>
          </w:tcPr>
          <w:p>
            <w:pPr>
              <w:spacing w:after="0" w:line="240" w:lineRule="auto"/>
            </w:pPr>
            <w:r>
              <w:t xml:space="preserve">Which check this row is</w:t>
            </w:r>
          </w:p>
        </w:tc>
      </w:tr>
      <w:tr>
        <w:tc>
          <w:tcPr>
            <w:tcW w:w="1200" w:type="pct"/>
          </w:tcPr>
          <w:p>
            <w:pPr>
              <w:spacing w:after="0" w:line="240" w:lineRule="auto"/>
            </w:pPr>
            <w:r>
              <w:rPr>
                <w:rFonts w:ascii="Consolas" w:hAnsi="Consolas" w:cs="Consolas"/>
                <w:sz w:val="17"/>
              </w:rPr>
              <w:t xml:space="preserve">metric</w:t>
            </w:r>
          </w:p>
        </w:tc>
        <w:tc>
          <w:tcPr>
            <w:tcW w:w="3800" w:type="pct"/>
          </w:tcPr>
          <w:p>
            <w:pPr>
              <w:spacing w:after="0" w:line="240" w:lineRule="auto"/>
            </w:pPr>
            <w:r>
              <w:t xml:space="preserve">What was measured — a count, a total, a value set</w:t>
            </w:r>
          </w:p>
        </w:tc>
      </w:tr>
      <w:tr>
        <w:tc>
          <w:tcPr>
            <w:tcW w:w="1200" w:type="pct"/>
          </w:tcPr>
          <w:p>
            <w:pPr>
              <w:spacing w:after="0" w:line="240" w:lineRule="auto"/>
            </w:pPr>
            <w:r>
              <w:rPr>
                <w:rFonts w:ascii="Consolas" w:hAnsi="Consolas" w:cs="Consolas"/>
                <w:sz w:val="17"/>
              </w:rPr>
              <w:t xml:space="preserve">source_value / target_value</w:t>
            </w:r>
          </w:p>
        </w:tc>
        <w:tc>
          <w:tcPr>
            <w:tcW w:w="3800" w:type="pct"/>
          </w:tcPr>
          <w:p>
            <w:pPr>
              <w:spacing w:after="0" w:line="240" w:lineRule="auto"/>
            </w:pPr>
            <w:r>
              <w:t xml:space="preserve">The two numbers</w:t>
            </w:r>
          </w:p>
        </w:tc>
      </w:tr>
      <w:tr>
        <w:tc>
          <w:tcPr>
            <w:tcW w:w="1200" w:type="pct"/>
          </w:tcPr>
          <w:p>
            <w:pPr>
              <w:spacing w:after="0" w:line="240" w:lineRule="auto"/>
            </w:pPr>
            <w:r>
              <w:rPr>
                <w:rFonts w:ascii="Consolas" w:hAnsi="Consolas" w:cs="Consolas"/>
                <w:sz w:val="17"/>
              </w:rPr>
              <w:t xml:space="preserve">difference</w:t>
            </w:r>
          </w:p>
        </w:tc>
        <w:tc>
          <w:tcPr>
            <w:tcW w:w="3800" w:type="pct"/>
          </w:tcPr>
          <w:p>
            <w:pPr>
              <w:spacing w:after="0" w:line="240" w:lineRule="auto"/>
            </w:pPr>
            <w:r>
              <w:t xml:space="preserve">target_value − source_value; 0 when the hop ties out</w:t>
            </w:r>
          </w:p>
        </w:tc>
      </w:tr>
      <w:tr>
        <w:tc>
          <w:tcPr>
            <w:tcW w:w="1200" w:type="pct"/>
          </w:tcPr>
          <w:p>
            <w:pPr>
              <w:spacing w:after="0" w:line="240" w:lineRule="auto"/>
            </w:pPr>
            <w:r>
              <w:rPr>
                <w:rFonts w:ascii="Consolas" w:hAnsi="Consolas" w:cs="Consolas"/>
                <w:sz w:val="17"/>
              </w:rPr>
              <w:t xml:space="preserve">status</w:t>
            </w:r>
          </w:p>
        </w:tc>
        <w:tc>
          <w:tcPr>
            <w:tcW w:w="3800" w:type="pct"/>
          </w:tcPr>
          <w:p>
            <w:pPr>
              <w:spacing w:after="0" w:line="240" w:lineRule="auto"/>
            </w:pPr>
            <w:r>
              <w:t xml:space="preserve">PASS, REVIEW or FAIL</w:t>
            </w:r>
          </w:p>
        </w:tc>
      </w:tr>
    </w:tbl>
    <w:p>
      <w:pPr>
        <w:spacing w:after="0" w:line="240" w:lineRule="auto"/>
      </w:pPr>
    </w:p>
    <w:tbl>
      <w:tblPr>
        <w:tblStyle w:val="Style1"/>
        <w:tblW w:w="5000" w:type="pct"/>
        <w:tblLook w:val="04A0" w:firstRow="1" w:lastRow="0" w:firstColumn="1" w:lastColumn="0" w:noHBand="0" w:noVBand="1"/>
      </w:tblPr>
      <w:tblGrid>
        <w:gridCol w:w="1587"/>
        <w:gridCol w:w="8331"/>
      </w:tblGrid>
      <w:tr>
        <w:trPr>
          <w:cnfStyle w:val="100000000000" w:firstRow="1" w:lastRow="0" w:firstColumn="0" w:lastColumn="0" w:oddVBand="0" w:evenVBand="0" w:oddHBand="0" w:evenHBand="0" w:firstRowFirstColumn="0" w:firstRowLastColumn="0" w:lastRowFirstColumn="0" w:lastRowLastColumn="0"/>
          <w:tblHeader/>
          <w:trHeight w:val="397"/>
        </w:trPr>
        <w:tc>
          <w:tcPr>
            <w:tcW w:w="800" w:type="pct"/>
          </w:tcPr>
          <w:p>
            <w:pPr>
              <w:spacing w:after="0" w:line="240" w:lineRule="auto"/>
            </w:pPr>
            <w:r>
              <w:rPr>
                <w:b/>
                <w:color w:val="FFFFFF" w:themeColor="background1"/>
              </w:rPr>
              <w:t xml:space="preserve">Status</w:t>
            </w:r>
          </w:p>
        </w:tc>
        <w:tc>
          <w:tcPr>
            <w:tcW w:w="4200" w:type="pct"/>
          </w:tcPr>
          <w:p>
            <w:pPr>
              <w:spacing w:after="0" w:line="240" w:lineRule="auto"/>
            </w:pPr>
            <w:r>
              <w:rPr>
                <w:b/>
                <w:color w:val="FFFFFF" w:themeColor="background1"/>
              </w:rPr>
              <w:t xml:space="preserve">What it means</w:t>
            </w:r>
          </w:p>
        </w:tc>
      </w:tr>
      <w:tr>
        <w:tc>
          <w:tcPr>
            <w:tcW w:w="800" w:type="pct"/>
          </w:tcPr>
          <w:p>
            <w:pPr>
              <w:spacing w:after="0" w:line="240" w:lineRule="auto"/>
            </w:pPr>
            <w:r>
              <w:t xml:space="preserve">PASS</w:t>
            </w:r>
          </w:p>
        </w:tc>
        <w:tc>
          <w:tcPr>
            <w:tcW w:w="4200" w:type="pct"/>
          </w:tcPr>
          <w:p>
            <w:pPr>
              <w:spacing w:after="0" w:line="240" w:lineRule="auto"/>
            </w:pPr>
            <w:r>
              <w:t xml:space="preserve">The two sides agree</w:t>
            </w:r>
          </w:p>
        </w:tc>
      </w:tr>
      <w:tr>
        <w:tc>
          <w:tcPr>
            <w:tcW w:w="800" w:type="pct"/>
          </w:tcPr>
          <w:p>
            <w:pPr>
              <w:spacing w:after="0" w:line="240" w:lineRule="auto"/>
            </w:pPr>
            <w:r>
              <w:t xml:space="preserve">REVIEW</w:t>
            </w:r>
          </w:p>
        </w:tc>
        <w:tc>
          <w:tcPr>
            <w:tcW w:w="4200" w:type="pct"/>
          </w:tcPr>
          <w:p>
            <w:pPr>
              <w:spacing w:after="0" w:line="240" w:lineRule="auto"/>
            </w:pPr>
            <w:r>
              <w:t xml:space="preserve">The numbers differ and something has to explain it — a filter, an aggregation, a deliberate exclusion</w:t>
            </w:r>
          </w:p>
        </w:tc>
      </w:tr>
      <w:tr>
        <w:tc>
          <w:tcPr>
            <w:tcW w:w="800" w:type="pct"/>
          </w:tcPr>
          <w:p>
            <w:pPr>
              <w:spacing w:after="0" w:line="240" w:lineRule="auto"/>
            </w:pPr>
            <w:r>
              <w:t xml:space="preserve">FAIL</w:t>
            </w:r>
          </w:p>
        </w:tc>
        <w:tc>
          <w:tcPr>
            <w:tcW w:w="4200" w:type="pct"/>
          </w:tcPr>
          <w:p>
            <w:pPr>
              <w:spacing w:after="0" w:line="240" w:lineRule="auto"/>
            </w:pPr>
            <w:r>
              <w:t xml:space="preserve">Wrong on its own terms: duplicate keys, null keys, or target rows no source accounts for</w:t>
            </w:r>
          </w:p>
        </w:tc>
      </w:tr>
    </w:tbl>
    <w:p>
      <w:pPr>
        <w:spacing w:after="0" w:line="240" w:lineRule="auto"/>
      </w:pPr>
    </w:p>
    <w:p>
      <w:r>
        <w:t xml:space="preserve">A check whose key was inferred rather than declared reports REVIEW where a declared key would report FAIL — the guess is not trusted enough to call it a failure. SUMMARY.txt in the same folder records the counts, the hop split, and whether the reviewer model contributed.</w:t>
      </w:r>
    </w:p>
    <w:p>
      <w:r>
        <w:t xml:space="preserve">The check kinds:</w:t>
      </w:r>
    </w:p>
    <w:tbl>
      <w:tblPr>
        <w:tblStyle w:val="Style1"/>
        <w:tblW w:w="5000" w:type="pct"/>
        <w:tblLook w:val="04A0" w:firstRow="1" w:lastRow="0" w:firstColumn="1" w:lastColumn="0" w:noHBand="0" w:noVBand="1"/>
      </w:tblPr>
      <w:tblGrid>
        <w:gridCol w:w="2380"/>
        <w:gridCol w:w="7538"/>
      </w:tblGrid>
      <w:tr>
        <w:trPr>
          <w:cnfStyle w:val="100000000000" w:firstRow="1" w:lastRow="0" w:firstColumn="0" w:lastColumn="0" w:oddVBand="0" w:evenVBand="0" w:oddHBand="0" w:evenHBand="0" w:firstRowFirstColumn="0" w:firstRowLastColumn="0" w:lastRowFirstColumn="0" w:lastRowLastColumn="0"/>
          <w:tblHeader/>
          <w:trHeight w:val="397"/>
        </w:trPr>
        <w:tc>
          <w:tcPr>
            <w:tcW w:w="1200" w:type="pct"/>
          </w:tcPr>
          <w:p>
            <w:pPr>
              <w:spacing w:after="0" w:line="240" w:lineRule="auto"/>
            </w:pPr>
            <w:r>
              <w:rPr>
                <w:b/>
                <w:color w:val="FFFFFF" w:themeColor="background1"/>
              </w:rPr>
              <w:t xml:space="preserve">Kind</w:t>
            </w:r>
          </w:p>
        </w:tc>
        <w:tc>
          <w:tcPr>
            <w:tcW w:w="3800" w:type="pct"/>
          </w:tcPr>
          <w:p>
            <w:pPr>
              <w:spacing w:after="0" w:line="240" w:lineRule="auto"/>
            </w:pPr>
            <w:r>
              <w:rPr>
                <w:b/>
                <w:color w:val="FFFFFF" w:themeColor="background1"/>
              </w:rPr>
              <w:t xml:space="preserve">Compares</w:t>
            </w:r>
          </w:p>
        </w:tc>
      </w:tr>
      <w:tr>
        <w:tc>
          <w:tcPr>
            <w:tcW w:w="1200" w:type="pct"/>
          </w:tcPr>
          <w:p>
            <w:pPr>
              <w:spacing w:after="0" w:line="240" w:lineRule="auto"/>
            </w:pPr>
            <w:r>
              <w:rPr>
                <w:rFonts w:ascii="Consolas" w:hAnsi="Consolas" w:cs="Consolas"/>
                <w:sz w:val="17"/>
              </w:rPr>
              <w:t xml:space="preserve">row_count</w:t>
            </w:r>
          </w:p>
        </w:tc>
        <w:tc>
          <w:tcPr>
            <w:tcW w:w="3800" w:type="pct"/>
          </w:tcPr>
          <w:p>
            <w:pPr>
              <w:spacing w:after="0" w:line="240" w:lineRule="auto"/>
            </w:pPr>
            <w:r>
              <w:t xml:space="preserve">Rows in the target against rows in each source</w:t>
            </w:r>
          </w:p>
        </w:tc>
      </w:tr>
      <w:tr>
        <w:tc>
          <w:tcPr>
            <w:tcW w:w="1200" w:type="pct"/>
          </w:tcPr>
          <w:p>
            <w:pPr>
              <w:spacing w:after="0" w:line="240" w:lineRule="auto"/>
            </w:pPr>
            <w:r>
              <w:rPr>
                <w:rFonts w:ascii="Consolas" w:hAnsi="Consolas" w:cs="Consolas"/>
                <w:sz w:val="17"/>
              </w:rPr>
              <w:t xml:space="preserve">measure_totals</w:t>
            </w:r>
          </w:p>
        </w:tc>
        <w:tc>
          <w:tcPr>
            <w:tcW w:w="3800" w:type="pct"/>
          </w:tcPr>
          <w:p>
            <w:pPr>
              <w:spacing w:after="0" w:line="240" w:lineRule="auto"/>
            </w:pPr>
            <w:r>
              <w:t xml:space="preserve">SUM of each shared measure column on both sides</w:t>
            </w:r>
          </w:p>
        </w:tc>
      </w:tr>
      <w:tr>
        <w:tc>
          <w:tcPr>
            <w:tcW w:w="1200" w:type="pct"/>
          </w:tcPr>
          <w:p>
            <w:pPr>
              <w:spacing w:after="0" w:line="240" w:lineRule="auto"/>
            </w:pPr>
            <w:r>
              <w:rPr>
                <w:rFonts w:ascii="Consolas" w:hAnsi="Consolas" w:cs="Consolas"/>
                <w:sz w:val="17"/>
              </w:rPr>
              <w:t xml:space="preserve">category_values</w:t>
            </w:r>
          </w:p>
        </w:tc>
        <w:tc>
          <w:tcPr>
            <w:tcW w:w="3800" w:type="pct"/>
          </w:tcPr>
          <w:p>
            <w:pPr>
              <w:spacing w:after="0" w:line="240" w:lineRule="auto"/>
            </w:pPr>
            <w:r>
              <w:t xml:space="preserve">The distinct value sets of a shared label column — values that appeared or vanished</w:t>
            </w:r>
          </w:p>
        </w:tc>
      </w:tr>
      <w:tr>
        <w:tc>
          <w:tcPr>
            <w:tcW w:w="1200" w:type="pct"/>
          </w:tcPr>
          <w:p>
            <w:pPr>
              <w:spacing w:after="0" w:line="240" w:lineRule="auto"/>
            </w:pPr>
            <w:r>
              <w:rPr>
                <w:rFonts w:ascii="Consolas" w:hAnsi="Consolas" w:cs="Consolas"/>
                <w:sz w:val="17"/>
              </w:rPr>
              <w:t xml:space="preserve">missing_keys</w:t>
            </w:r>
          </w:p>
        </w:tc>
        <w:tc>
          <w:tcPr>
            <w:tcW w:w="3800" w:type="pct"/>
          </w:tcPr>
          <w:p>
            <w:pPr>
              <w:spacing w:after="0" w:line="240" w:lineRule="auto"/>
            </w:pPr>
            <w:r>
              <w:t xml:space="preserve">Source keys with no target row</w:t>
            </w:r>
          </w:p>
        </w:tc>
      </w:tr>
      <w:tr>
        <w:tc>
          <w:tcPr>
            <w:tcW w:w="1200" w:type="pct"/>
          </w:tcPr>
          <w:p>
            <w:pPr>
              <w:spacing w:after="0" w:line="240" w:lineRule="auto"/>
            </w:pPr>
            <w:r>
              <w:rPr>
                <w:rFonts w:ascii="Consolas" w:hAnsi="Consolas" w:cs="Consolas"/>
                <w:sz w:val="17"/>
              </w:rPr>
              <w:t xml:space="preserve">orphan_keys</w:t>
            </w:r>
          </w:p>
        </w:tc>
        <w:tc>
          <w:tcPr>
            <w:tcW w:w="3800" w:type="pct"/>
          </w:tcPr>
          <w:p>
            <w:pPr>
              <w:spacing w:after="0" w:line="240" w:lineRule="auto"/>
            </w:pPr>
            <w:r>
              <w:t xml:space="preserve">Target keys no source accounts for</w:t>
            </w:r>
          </w:p>
        </w:tc>
      </w:tr>
      <w:tr>
        <w:tc>
          <w:tcPr>
            <w:tcW w:w="1200" w:type="pct"/>
          </w:tcPr>
          <w:p>
            <w:pPr>
              <w:spacing w:after="0" w:line="240" w:lineRule="auto"/>
            </w:pPr>
            <w:r>
              <w:rPr>
                <w:rFonts w:ascii="Consolas" w:hAnsi="Consolas" w:cs="Consolas"/>
                <w:sz w:val="17"/>
              </w:rPr>
              <w:t xml:space="preserve">duplicate_keys</w:t>
            </w:r>
          </w:p>
        </w:tc>
        <w:tc>
          <w:tcPr>
            <w:tcW w:w="3800" w:type="pct"/>
          </w:tcPr>
          <w:p>
            <w:pPr>
              <w:spacing w:after="0" w:line="240" w:lineRule="auto"/>
            </w:pPr>
            <w:r>
              <w:t xml:space="preserve">Keys appearing more than once in the target</w:t>
            </w:r>
          </w:p>
        </w:tc>
      </w:tr>
      <w:tr>
        <w:tc>
          <w:tcPr>
            <w:tcW w:w="1200" w:type="pct"/>
          </w:tcPr>
          <w:p>
            <w:pPr>
              <w:spacing w:after="0" w:line="240" w:lineRule="auto"/>
            </w:pPr>
            <w:r>
              <w:rPr>
                <w:rFonts w:ascii="Consolas" w:hAnsi="Consolas" w:cs="Consolas"/>
                <w:sz w:val="17"/>
              </w:rPr>
              <w:t xml:space="preserve">null_keys</w:t>
            </w:r>
          </w:p>
        </w:tc>
        <w:tc>
          <w:tcPr>
            <w:tcW w:w="3800" w:type="pct"/>
          </w:tcPr>
          <w:p>
            <w:pPr>
              <w:spacing w:after="0" w:line="240" w:lineRule="auto"/>
            </w:pPr>
            <w:r>
              <w:t xml:space="preserve">Key columns that are null</w:t>
            </w:r>
          </w:p>
        </w:tc>
      </w:tr>
      <w:tr>
        <w:tc>
          <w:tcPr>
            <w:tcW w:w="1200" w:type="pct"/>
          </w:tcPr>
          <w:p>
            <w:pPr>
              <w:spacing w:after="0" w:line="240" w:lineRule="auto"/>
            </w:pPr>
            <w:r>
              <w:rPr>
                <w:rFonts w:ascii="Consolas" w:hAnsi="Consolas" w:cs="Consolas"/>
                <w:sz w:val="17"/>
              </w:rPr>
              <w:t xml:space="preserve">custom</w:t>
            </w:r>
          </w:p>
        </w:tc>
        <w:tc>
          <w:tcPr>
            <w:tcW w:w="3800" w:type="pct"/>
          </w:tcPr>
          <w:p>
            <w:pPr>
              <w:spacing w:after="0" w:line="240" w:lineRule="auto"/>
            </w:pPr>
            <w:r>
              <w:t xml:space="preserve">Anything the reviewer model added from reading the transformation itself</w:t>
            </w:r>
          </w:p>
        </w:tc>
      </w:tr>
    </w:tbl>
    <w:p>
      <w:pPr>
        <w:spacing w:after="0" w:line="240" w:lineRule="auto"/>
      </w:pPr>
    </w:p>
    <w:p>
      <w:pPr>
        <w:pStyle w:val="Heading2"/>
      </w:pPr>
      <w:r>
        <w:t xml:space="preserve">lineage/ — the approved graph</w:t>
      </w:r>
    </w:p>
    <w:tbl>
      <w:tblPr>
        <w:tblStyle w:val="Style1"/>
        <w:tblW w:w="5000" w:type="pct"/>
        <w:tblLook w:val="04A0" w:firstRow="1" w:lastRow="0" w:firstColumn="1" w:lastColumn="0" w:noHBand="0" w:noVBand="1"/>
      </w:tblPr>
      <w:tblGrid>
        <w:gridCol w:w="2975"/>
        <w:gridCol w:w="6943"/>
      </w:tblGrid>
      <w:tr>
        <w:trPr>
          <w:cnfStyle w:val="100000000000" w:firstRow="1" w:lastRow="0" w:firstColumn="0" w:lastColumn="0" w:oddVBand="0" w:evenVBand="0" w:oddHBand="0" w:evenHBand="0" w:firstRowFirstColumn="0" w:firstRowLastColumn="0" w:lastRowFirstColumn="0" w:lastRowLastColumn="0"/>
          <w:tblHeader/>
          <w:trHeight w:val="397"/>
        </w:trPr>
        <w:tc>
          <w:tcPr>
            <w:tcW w:w="1500" w:type="pct"/>
          </w:tcPr>
          <w:p>
            <w:pPr>
              <w:spacing w:after="0" w:line="240" w:lineRule="auto"/>
            </w:pPr>
            <w:r>
              <w:rPr>
                <w:b/>
                <w:color w:val="FFFFFF" w:themeColor="background1"/>
              </w:rPr>
              <w:t xml:space="preserve">File</w:t>
            </w:r>
          </w:p>
        </w:tc>
        <w:tc>
          <w:tcPr>
            <w:tcW w:w="3500" w:type="pct"/>
          </w:tcPr>
          <w:p>
            <w:pPr>
              <w:spacing w:after="0" w:line="240" w:lineRule="auto"/>
            </w:pPr>
            <w:r>
              <w:rPr>
                <w:b/>
                <w:color w:val="FFFFFF" w:themeColor="background1"/>
              </w:rPr>
              <w:t xml:space="preserve">Contents</w:t>
            </w:r>
          </w:p>
        </w:tc>
      </w:tr>
      <w:tr>
        <w:tc>
          <w:tcPr>
            <w:tcW w:w="1500" w:type="pct"/>
          </w:tcPr>
          <w:p>
            <w:pPr>
              <w:spacing w:after="0" w:line="240" w:lineRule="auto"/>
            </w:pPr>
            <w:r>
              <w:rPr>
                <w:rFonts w:ascii="Consolas" w:hAnsi="Consolas" w:cs="Consolas"/>
                <w:sz w:val="17"/>
              </w:rPr>
              <w:t xml:space="preserve">lineage.html</w:t>
            </w:r>
          </w:p>
        </w:tc>
        <w:tc>
          <w:tcPr>
            <w:tcW w:w="3500" w:type="pct"/>
          </w:tcPr>
          <w:p>
            <w:pPr>
              <w:spacing w:after="0" w:line="240" w:lineRule="auto"/>
            </w:pPr>
            <w:r>
              <w:t xml:space="preserve">The diagram you reviewed at the confirmation gate</w:t>
            </w:r>
          </w:p>
        </w:tc>
      </w:tr>
      <w:tr>
        <w:tc>
          <w:tcPr>
            <w:tcW w:w="1500" w:type="pct"/>
          </w:tcPr>
          <w:p>
            <w:pPr>
              <w:spacing w:after="0" w:line="240" w:lineRule="auto"/>
            </w:pPr>
            <w:r>
              <w:rPr>
                <w:rFonts w:ascii="Consolas" w:hAnsi="Consolas" w:cs="Consolas"/>
                <w:sz w:val="17"/>
              </w:rPr>
              <w:t xml:space="preserve">lineage.pptx</w:t>
            </w:r>
          </w:p>
        </w:tc>
        <w:tc>
          <w:tcPr>
            <w:tcW w:w="3500" w:type="pct"/>
          </w:tcPr>
          <w:p>
            <w:pPr>
              <w:spacing w:after="0" w:line="240" w:lineRule="auto"/>
            </w:pPr>
            <w:r>
              <w:t xml:space="preserve">The same diagram as editable PowerPoint shapes</w:t>
            </w:r>
          </w:p>
        </w:tc>
      </w:tr>
      <w:tr>
        <w:tc>
          <w:tcPr>
            <w:tcW w:w="1500" w:type="pct"/>
          </w:tcPr>
          <w:p>
            <w:pPr>
              <w:spacing w:after="0" w:line="240" w:lineRule="auto"/>
            </w:pPr>
            <w:r>
              <w:rPr>
                <w:rFonts w:ascii="Consolas" w:hAnsi="Consolas" w:cs="Consolas"/>
                <w:sz w:val="17"/>
              </w:rPr>
              <w:t xml:space="preserve">lineage.json</w:t>
            </w:r>
          </w:p>
        </w:tc>
        <w:tc>
          <w:tcPr>
            <w:tcW w:w="3500" w:type="pct"/>
          </w:tcPr>
          <w:p>
            <w:pPr>
              <w:spacing w:after="0" w:line="240" w:lineRule="auto"/>
            </w:pPr>
            <w:r>
              <w:t xml:space="preserve">The approved graph — read back by document and diagrams on later runs</w:t>
            </w:r>
          </w:p>
        </w:tc>
      </w:tr>
      <w:tr>
        <w:tc>
          <w:tcPr>
            <w:tcW w:w="1500" w:type="pct"/>
          </w:tcPr>
          <w:p>
            <w:pPr>
              <w:spacing w:after="0" w:line="240" w:lineRule="auto"/>
            </w:pPr>
            <w:r>
              <w:rPr>
                <w:rFonts w:ascii="Consolas" w:hAnsi="Consolas" w:cs="Consolas"/>
                <w:sz w:val="17"/>
              </w:rPr>
              <w:t xml:space="preserve">lineage-feedback.json</w:t>
            </w:r>
          </w:p>
        </w:tc>
        <w:tc>
          <w:tcPr>
            <w:tcW w:w="3500" w:type="pct"/>
          </w:tcPr>
          <w:p>
            <w:pPr>
              <w:spacing w:after="0" w:line="240" w:lineRule="auto"/>
            </w:pPr>
            <w:r>
              <w:t xml:space="preserve">Each round of corrections, so they can be replayed onto a fresh scan</w:t>
            </w:r>
          </w:p>
        </w:tc>
      </w:tr>
    </w:tbl>
    <w:p>
      <w:pPr>
        <w:spacing w:after="0" w:line="240" w:lineRule="auto"/>
      </w:pPr>
    </w:p>
    <w:p>
      <w:pPr>
        <w:pStyle w:val="Heading2"/>
      </w:pPr>
      <w:r>
        <w:t xml:space="preserve">documentation/ — the write-up</w:t>
      </w:r>
    </w:p>
    <w:p>
      <w:r>
        <w:t xml:space="preserve">A .docx rendered into the branded Word template and the same content as .md. Both, always: the .docx is what gets circulated and the Markdown is what can be diffed, grepped or read in a terminal. Its sections:</w:t>
      </w:r>
    </w:p>
    <w:p>
      <w:pPr>
        <w:pStyle w:val="Bullet"/>
      </w:pPr>
      <w:r>
        <w:t xml:space="preserve">Introduction — what the project is and what was scanned</w:t>
      </w:r>
    </w:p>
    <w:p>
      <w:pPr>
        <w:pStyle w:val="Bullet"/>
      </w:pPr>
      <w:r>
        <w:t xml:space="preserve">Pipeline layers — each layer, its tables, and what the layer is for</w:t>
      </w:r>
    </w:p>
    <w:p>
      <w:pPr>
        <w:pStyle w:val="Bullet"/>
      </w:pPr>
      <w:r>
        <w:t xml:space="preserve">Table lineage — the graph as a table of edges</w:t>
      </w:r>
    </w:p>
    <w:p>
      <w:pPr>
        <w:pStyle w:val="Bullet"/>
      </w:pPr>
      <w:r>
        <w:t xml:space="preserve">Business context, layer by layer — the one part the model writes, grounded in each hop's own SQL</w:t>
      </w:r>
    </w:p>
    <w:p>
      <w:pPr>
        <w:pStyle w:val="Bullet"/>
      </w:pPr>
      <w:r>
        <w:t xml:space="preserve">How the pipeline is reconciled — the join keys, measures and filters behind the checks</w:t>
      </w:r>
    </w:p>
    <w:p>
      <w:pPr>
        <w:pStyle w:val="Bullet"/>
      </w:pPr>
      <w:r>
        <w:t xml:space="preserve">Gaps and open questions — what the scan could not resolve</w:t>
      </w:r>
    </w:p>
    <w:p>
      <w:pPr>
        <w:pStyle w:val="Bullet"/>
      </w:pPr>
      <w:r>
        <w:t xml:space="preserve">Appendices — files scanned, and the full table inventory</w:t>
      </w:r>
    </w:p>
    <w:p>
      <w:pPr>
        <w:pStyle w:val="Heading2"/>
      </w:pPr>
      <w:r>
        <w:t xml:space="preserve">diagrams/ — the lineage as shapes</w:t>
      </w:r>
    </w:p>
    <w:tbl>
      <w:tblPr>
        <w:tblStyle w:val="Style1"/>
        <w:tblW w:w="5000" w:type="pct"/>
        <w:tblLook w:val="04A0" w:firstRow="1" w:lastRow="0" w:firstColumn="1" w:lastColumn="0" w:noHBand="0" w:noVBand="1"/>
      </w:tblPr>
      <w:tblGrid>
        <w:gridCol w:w="2975"/>
        <w:gridCol w:w="6943"/>
      </w:tblGrid>
      <w:tr>
        <w:trPr>
          <w:cnfStyle w:val="100000000000" w:firstRow="1" w:lastRow="0" w:firstColumn="0" w:lastColumn="0" w:oddVBand="0" w:evenVBand="0" w:oddHBand="0" w:evenHBand="0" w:firstRowFirstColumn="0" w:firstRowLastColumn="0" w:lastRowFirstColumn="0" w:lastRowLastColumn="0"/>
          <w:tblHeader/>
          <w:trHeight w:val="397"/>
        </w:trPr>
        <w:tc>
          <w:tcPr>
            <w:tcW w:w="1500" w:type="pct"/>
          </w:tcPr>
          <w:p>
            <w:pPr>
              <w:spacing w:after="0" w:line="240" w:lineRule="auto"/>
            </w:pPr>
            <w:r>
              <w:rPr>
                <w:b/>
                <w:color w:val="FFFFFF" w:themeColor="background1"/>
              </w:rPr>
              <w:t xml:space="preserve">File</w:t>
            </w:r>
          </w:p>
        </w:tc>
        <w:tc>
          <w:tcPr>
            <w:tcW w:w="3500" w:type="pct"/>
          </w:tcPr>
          <w:p>
            <w:pPr>
              <w:spacing w:after="0" w:line="240" w:lineRule="auto"/>
            </w:pPr>
            <w:r>
              <w:rPr>
                <w:b/>
                <w:color w:val="FFFFFF" w:themeColor="background1"/>
              </w:rPr>
              <w:t xml:space="preserve">Contents</w:t>
            </w:r>
          </w:p>
        </w:tc>
      </w:tr>
      <w:tr>
        <w:tc>
          <w:tcPr>
            <w:tcW w:w="1500" w:type="pct"/>
          </w:tcPr>
          <w:p>
            <w:pPr>
              <w:spacing w:after="0" w:line="240" w:lineRule="auto"/>
            </w:pPr>
            <w:r>
              <w:rPr>
                <w:rFonts w:ascii="Consolas" w:hAnsi="Consolas" w:cs="Consolas"/>
                <w:sz w:val="17"/>
              </w:rPr>
              <w:t xml:space="preserve">&lt;project&gt;-lineage.pptx</w:t>
            </w:r>
          </w:p>
        </w:tc>
        <w:tc>
          <w:tcPr>
            <w:tcW w:w="3500" w:type="pct"/>
          </w:tcPr>
          <w:p>
            <w:pPr>
              <w:spacing w:after="0" w:line="240" w:lineRule="auto"/>
            </w:pPr>
            <w:r>
              <w:t xml:space="preserve">One slide per diagram — the overview, then one per hop. Every table is a real shape and every arrow a connector bound to the two shapes it joins</w:t>
            </w:r>
          </w:p>
        </w:tc>
      </w:tr>
      <w:tr>
        <w:tc>
          <w:tcPr>
            <w:tcW w:w="1500" w:type="pct"/>
          </w:tcPr>
          <w:p>
            <w:pPr>
              <w:spacing w:after="0" w:line="240" w:lineRule="auto"/>
            </w:pPr>
            <w:r>
              <w:rPr>
                <w:rFonts w:ascii="Consolas" w:hAnsi="Consolas" w:cs="Consolas"/>
                <w:sz w:val="17"/>
              </w:rPr>
              <w:t xml:space="preserve">svg/&lt;hop&gt;.svg</w:t>
            </w:r>
          </w:p>
        </w:tc>
        <w:tc>
          <w:tcPr>
            <w:tcW w:w="3500" w:type="pct"/>
          </w:tcPr>
          <w:p>
            <w:pPr>
              <w:spacing w:after="0" w:line="240" w:lineRule="auto"/>
            </w:pPr>
            <w:r>
              <w:t xml:space="preserve">The same diagrams one at a time, for dropping a single hop into an existing document</w:t>
            </w:r>
          </w:p>
        </w:tc>
      </w:tr>
      <w:tr>
        <w:tc>
          <w:tcPr>
            <w:tcW w:w="1500" w:type="pct"/>
          </w:tcPr>
          <w:p>
            <w:pPr>
              <w:spacing w:after="0" w:line="240" w:lineRule="auto"/>
            </w:pPr>
            <w:r>
              <w:rPr>
                <w:rFonts w:ascii="Consolas" w:hAnsi="Consolas" w:cs="Consolas"/>
                <w:sz w:val="17"/>
              </w:rPr>
              <w:t xml:space="preserve">README.txt</w:t>
            </w:r>
          </w:p>
        </w:tc>
        <w:tc>
          <w:tcPr>
            <w:tcW w:w="3500" w:type="pct"/>
          </w:tcPr>
          <w:p>
            <w:pPr>
              <w:spacing w:after="0" w:line="240" w:lineRule="auto"/>
            </w:pPr>
            <w:r>
              <w:t xml:space="preserve">How to get either into Word or PowerPoint, and the Convert-to-Shape caveat</w:t>
            </w:r>
          </w:p>
        </w:tc>
      </w:tr>
    </w:tbl>
    <w:p>
      <w:pPr>
        <w:spacing w:after="0" w:line="240" w:lineRule="auto"/>
      </w:pPr>
    </w:p>
    <w:p>
      <w:r>
        <w:t xml:space="preserve">File names match the governance folder: bronze_to_silver.svg is the diagram for bronze_to_silver.sql.</w:t>
      </w:r>
    </w:p>
    <w:p>
      <w:r>
        <w:br w:type="page"/>
      </w:r>
    </w:p>
    <w:p>
      <w:pPr>
        <w:pStyle w:val="Heading1"/>
      </w:pPr>
      <w:r>
        <w:t xml:space="preserve">Configuration reference</w:t>
      </w:r>
    </w:p>
    <w:p>
      <w:r>
        <w:t xml:space="preserve">The server reads server/.env. The CLI reads the first .env it finds: an explicit --env-file, then &lt;dir&gt;/.env, then ./.env — so a project folder can carry its own settings.</w:t>
      </w:r>
    </w:p>
    <w:p>
      <w:pPr>
        <w:pStyle w:val="Heading2"/>
      </w:pPr>
      <w:r>
        <w:t xml:space="preserve">Required for the LLM-backed steps</w:t>
      </w:r>
    </w:p>
    <w:tbl>
      <w:tblPr>
        <w:tblStyle w:val="Style1"/>
        <w:tblW w:w="5000" w:type="pct"/>
        <w:tblLook w:val="04A0" w:firstRow="1" w:lastRow="0" w:firstColumn="1" w:lastColumn="0" w:noHBand="0" w:noVBand="1"/>
      </w:tblPr>
      <w:tblGrid>
        <w:gridCol w:w="3372"/>
        <w:gridCol w:w="6546"/>
      </w:tblGrid>
      <w:tr>
        <w:trPr>
          <w:cnfStyle w:val="100000000000" w:firstRow="1" w:lastRow="0" w:firstColumn="0" w:lastColumn="0" w:oddVBand="0" w:evenVBand="0" w:oddHBand="0" w:evenHBand="0" w:firstRowFirstColumn="0" w:firstRowLastColumn="0" w:lastRowFirstColumn="0" w:lastRowLastColumn="0"/>
          <w:tblHeader/>
          <w:trHeight w:val="397"/>
        </w:trPr>
        <w:tc>
          <w:tcPr>
            <w:tcW w:w="1700" w:type="pct"/>
          </w:tcPr>
          <w:p>
            <w:pPr>
              <w:spacing w:after="0" w:line="240" w:lineRule="auto"/>
            </w:pPr>
            <w:r>
              <w:rPr>
                <w:b/>
                <w:color w:val="FFFFFF" w:themeColor="background1"/>
              </w:rPr>
              <w:t xml:space="preserve">Variable</w:t>
            </w:r>
          </w:p>
        </w:tc>
        <w:tc>
          <w:tcPr>
            <w:tcW w:w="3300" w:type="pct"/>
          </w:tcPr>
          <w:p>
            <w:pPr>
              <w:spacing w:after="0" w:line="240" w:lineRule="auto"/>
            </w:pPr>
            <w:r>
              <w:rPr>
                <w:b/>
                <w:color w:val="FFFFFF" w:themeColor="background1"/>
              </w:rPr>
              <w:t xml:space="preserve">Purpose</w:t>
            </w:r>
          </w:p>
        </w:tc>
      </w:tr>
      <w:tr>
        <w:tc>
          <w:tcPr>
            <w:tcW w:w="1700" w:type="pct"/>
          </w:tcPr>
          <w:p>
            <w:pPr>
              <w:spacing w:after="0" w:line="240" w:lineRule="auto"/>
            </w:pPr>
            <w:r>
              <w:rPr>
                <w:rFonts w:ascii="Consolas" w:hAnsi="Consolas" w:cs="Consolas"/>
                <w:sz w:val="17"/>
              </w:rPr>
              <w:t xml:space="preserve">AZURE_OPENAI_ENDPOINT</w:t>
            </w:r>
          </w:p>
        </w:tc>
        <w:tc>
          <w:tcPr>
            <w:tcW w:w="3300" w:type="pct"/>
          </w:tcPr>
          <w:p>
            <w:pPr>
              <w:spacing w:after="0" w:line="240" w:lineRule="auto"/>
            </w:pPr>
            <w:r>
              <w:t xml:space="preserve">Your Azure OpenAI / AI Foundry endpoint URL</w:t>
            </w:r>
          </w:p>
        </w:tc>
      </w:tr>
      <w:tr>
        <w:tc>
          <w:tcPr>
            <w:tcW w:w="1700" w:type="pct"/>
          </w:tcPr>
          <w:p>
            <w:pPr>
              <w:spacing w:after="0" w:line="240" w:lineRule="auto"/>
            </w:pPr>
            <w:r>
              <w:rPr>
                <w:rFonts w:ascii="Consolas" w:hAnsi="Consolas" w:cs="Consolas"/>
                <w:sz w:val="17"/>
              </w:rPr>
              <w:t xml:space="preserve">AZURE_OPENAI_API_KEY</w:t>
            </w:r>
          </w:p>
        </w:tc>
        <w:tc>
          <w:tcPr>
            <w:tcW w:w="3300" w:type="pct"/>
          </w:tcPr>
          <w:p>
            <w:pPr>
              <w:spacing w:after="0" w:line="240" w:lineRule="auto"/>
            </w:pPr>
            <w:r>
              <w:t xml:space="preserve">API key for that endpoint</w:t>
            </w:r>
          </w:p>
        </w:tc>
      </w:tr>
      <w:tr>
        <w:tc>
          <w:tcPr>
            <w:tcW w:w="1700" w:type="pct"/>
          </w:tcPr>
          <w:p>
            <w:pPr>
              <w:spacing w:after="0" w:line="240" w:lineRule="auto"/>
            </w:pPr>
            <w:r>
              <w:rPr>
                <w:rFonts w:ascii="Consolas" w:hAnsi="Consolas" w:cs="Consolas"/>
                <w:sz w:val="17"/>
              </w:rPr>
              <w:t xml:space="preserve">AZURE_OPENAI_DEPLOYMENT</w:t>
            </w:r>
          </w:p>
        </w:tc>
        <w:tc>
          <w:tcPr>
            <w:tcW w:w="3300" w:type="pct"/>
          </w:tcPr>
          <w:p>
            <w:pPr>
              <w:spacing w:after="0" w:line="240" w:lineRule="auto"/>
            </w:pPr>
            <w:r>
              <w:t xml:space="preserve">The deployed model name</w:t>
            </w:r>
          </w:p>
        </w:tc>
      </w:tr>
    </w:tbl>
    <w:p>
      <w:pPr>
        <w:spacing w:after="0" w:line="240" w:lineRule="auto"/>
      </w:pPr>
    </w:p>
    <w:p>
      <w:pPr>
        <w:pStyle w:val="Heading2"/>
      </w:pPr>
      <w:r>
        <w:t xml:space="preserve">Optional tuning</w:t>
      </w:r>
    </w:p>
    <w:tbl>
      <w:tblPr>
        <w:tblStyle w:val="Style1"/>
        <w:tblW w:w="5000" w:type="pct"/>
        <w:tblLook w:val="04A0" w:firstRow="1" w:lastRow="0" w:firstColumn="1" w:lastColumn="0" w:noHBand="0" w:noVBand="1"/>
      </w:tblPr>
      <w:tblGrid>
        <w:gridCol w:w="3372"/>
        <w:gridCol w:w="1389"/>
        <w:gridCol w:w="5157"/>
      </w:tblGrid>
      <w:tr>
        <w:trPr>
          <w:cnfStyle w:val="100000000000" w:firstRow="1" w:lastRow="0" w:firstColumn="0" w:lastColumn="0" w:oddVBand="0" w:evenVBand="0" w:oddHBand="0" w:evenHBand="0" w:firstRowFirstColumn="0" w:firstRowLastColumn="0" w:lastRowFirstColumn="0" w:lastRowLastColumn="0"/>
          <w:tblHeader/>
          <w:trHeight w:val="397"/>
        </w:trPr>
        <w:tc>
          <w:tcPr>
            <w:tcW w:w="1700" w:type="pct"/>
          </w:tcPr>
          <w:p>
            <w:pPr>
              <w:spacing w:after="0" w:line="240" w:lineRule="auto"/>
            </w:pPr>
            <w:r>
              <w:rPr>
                <w:b/>
                <w:color w:val="FFFFFF" w:themeColor="background1"/>
              </w:rPr>
              <w:t xml:space="preserve">Variable</w:t>
            </w:r>
          </w:p>
        </w:tc>
        <w:tc>
          <w:tcPr>
            <w:tcW w:w="700" w:type="pct"/>
          </w:tcPr>
          <w:p>
            <w:pPr>
              <w:spacing w:after="0" w:line="240" w:lineRule="auto"/>
            </w:pPr>
            <w:r>
              <w:rPr>
                <w:b/>
                <w:color w:val="FFFFFF" w:themeColor="background1"/>
              </w:rPr>
              <w:t xml:space="preserve">Default</w:t>
            </w:r>
          </w:p>
        </w:tc>
        <w:tc>
          <w:tcPr>
            <w:tcW w:w="2600" w:type="pct"/>
          </w:tcPr>
          <w:p>
            <w:pPr>
              <w:spacing w:after="0" w:line="240" w:lineRule="auto"/>
            </w:pPr>
            <w:r>
              <w:rPr>
                <w:b/>
                <w:color w:val="FFFFFF" w:themeColor="background1"/>
              </w:rPr>
              <w:t xml:space="preserve">Effect</w:t>
            </w:r>
          </w:p>
        </w:tc>
      </w:tr>
      <w:tr>
        <w:tc>
          <w:tcPr>
            <w:tcW w:w="1700" w:type="pct"/>
          </w:tcPr>
          <w:p>
            <w:pPr>
              <w:spacing w:after="0" w:line="240" w:lineRule="auto"/>
            </w:pPr>
            <w:r>
              <w:rPr>
                <w:rFonts w:ascii="Consolas" w:hAnsi="Consolas" w:cs="Consolas"/>
                <w:sz w:val="17"/>
              </w:rPr>
              <w:t xml:space="preserve">PORT</w:t>
            </w:r>
          </w:p>
        </w:tc>
        <w:tc>
          <w:tcPr>
            <w:tcW w:w="700" w:type="pct"/>
          </w:tcPr>
          <w:p>
            <w:pPr>
              <w:spacing w:after="0" w:line="240" w:lineRule="auto"/>
            </w:pPr>
            <w:r>
              <w:t xml:space="preserve">4000</w:t>
            </w:r>
          </w:p>
        </w:tc>
        <w:tc>
          <w:tcPr>
            <w:tcW w:w="2600" w:type="pct"/>
          </w:tcPr>
          <w:p>
            <w:pPr>
              <w:spacing w:after="0" w:line="240" w:lineRule="auto"/>
            </w:pPr>
            <w:r>
              <w:t xml:space="preserve">Server port</w:t>
            </w:r>
          </w:p>
        </w:tc>
      </w:tr>
      <w:tr>
        <w:tc>
          <w:tcPr>
            <w:tcW w:w="1700" w:type="pct"/>
          </w:tcPr>
          <w:p>
            <w:pPr>
              <w:spacing w:after="0" w:line="240" w:lineRule="auto"/>
            </w:pPr>
            <w:r>
              <w:rPr>
                <w:rFonts w:ascii="Consolas" w:hAnsi="Consolas" w:cs="Consolas"/>
                <w:sz w:val="17"/>
              </w:rPr>
              <w:t xml:space="preserve">AZURE_OPENAI_TIMEOUT_MS</w:t>
            </w:r>
          </w:p>
        </w:tc>
        <w:tc>
          <w:tcPr>
            <w:tcW w:w="700" w:type="pct"/>
          </w:tcPr>
          <w:p>
            <w:pPr>
              <w:spacing w:after="0" w:line="240" w:lineRule="auto"/>
            </w:pPr>
            <w:r>
              <w:t xml:space="preserve">120000</w:t>
            </w:r>
          </w:p>
        </w:tc>
        <w:tc>
          <w:tcPr>
            <w:tcW w:w="2600" w:type="pct"/>
          </w:tcPr>
          <w:p>
            <w:pPr>
              <w:spacing w:after="0" w:line="240" w:lineRule="auto"/>
            </w:pPr>
            <w:r>
              <w:t xml:space="preserve">Ceiling for one LLM call</w:t>
            </w:r>
          </w:p>
        </w:tc>
      </w:tr>
      <w:tr>
        <w:tc>
          <w:tcPr>
            <w:tcW w:w="1700" w:type="pct"/>
          </w:tcPr>
          <w:p>
            <w:pPr>
              <w:spacing w:after="0" w:line="240" w:lineRule="auto"/>
            </w:pPr>
            <w:r>
              <w:rPr>
                <w:rFonts w:ascii="Consolas" w:hAnsi="Consolas" w:cs="Consolas"/>
                <w:sz w:val="17"/>
              </w:rPr>
              <w:t xml:space="preserve">AZURE_OPENAI_REASONING_EFFORT</w:t>
            </w:r>
          </w:p>
        </w:tc>
        <w:tc>
          <w:tcPr>
            <w:tcW w:w="700" w:type="pct"/>
          </w:tcPr>
          <w:p>
            <w:pPr>
              <w:spacing w:after="0" w:line="240" w:lineRule="auto"/>
            </w:pPr>
            <w:r>
              <w:t xml:space="preserve">unset</w:t>
            </w:r>
          </w:p>
        </w:tc>
        <w:tc>
          <w:tcPr>
            <w:tcW w:w="2600" w:type="pct"/>
          </w:tcPr>
          <w:p>
            <w:pPr>
              <w:spacing w:after="0" w:line="240" w:lineRule="auto"/>
            </w:pPr>
            <w:r>
              <w:t xml:space="preserve">Only on a reasoning deployment — a non-reasoning one rejects it outright. low is the biggest latency win for the reconciliation flow</w:t>
            </w:r>
          </w:p>
        </w:tc>
      </w:tr>
      <w:tr>
        <w:tc>
          <w:tcPr>
            <w:tcW w:w="1700" w:type="pct"/>
          </w:tcPr>
          <w:p>
            <w:pPr>
              <w:spacing w:after="0" w:line="240" w:lineRule="auto"/>
            </w:pPr>
            <w:r>
              <w:rPr>
                <w:rFonts w:ascii="Consolas" w:hAnsi="Consolas" w:cs="Consolas"/>
                <w:sz w:val="17"/>
              </w:rPr>
              <w:t xml:space="preserve">RECON_TARGETS_PER_CALL</w:t>
            </w:r>
          </w:p>
        </w:tc>
        <w:tc>
          <w:tcPr>
            <w:tcW w:w="700" w:type="pct"/>
          </w:tcPr>
          <w:p>
            <w:pPr>
              <w:spacing w:after="0" w:line="240" w:lineRule="auto"/>
            </w:pPr>
            <w:r>
              <w:t xml:space="preserve">2</w:t>
            </w:r>
          </w:p>
        </w:tc>
        <w:tc>
          <w:tcPr>
            <w:tcW w:w="2600" w:type="pct"/>
          </w:tcPr>
          <w:p>
            <w:pPr>
              <w:spacing w:after="0" w:line="240" w:lineRule="auto"/>
            </w:pPr>
            <w:r>
              <w:t xml:space="preserve">Target tables per call — lower means shorter answers and more calls</w:t>
            </w:r>
          </w:p>
        </w:tc>
      </w:tr>
      <w:tr>
        <w:tc>
          <w:tcPr>
            <w:tcW w:w="1700" w:type="pct"/>
          </w:tcPr>
          <w:p>
            <w:pPr>
              <w:spacing w:after="0" w:line="240" w:lineRule="auto"/>
            </w:pPr>
            <w:r>
              <w:rPr>
                <w:rFonts w:ascii="Consolas" w:hAnsi="Consolas" w:cs="Consolas"/>
                <w:sz w:val="17"/>
              </w:rPr>
              <w:t xml:space="preserve">RECON_CONCURRENCY</w:t>
            </w:r>
          </w:p>
        </w:tc>
        <w:tc>
          <w:tcPr>
            <w:tcW w:w="700" w:type="pct"/>
          </w:tcPr>
          <w:p>
            <w:pPr>
              <w:spacing w:after="0" w:line="240" w:lineRule="auto"/>
            </w:pPr>
            <w:r>
              <w:t xml:space="preserve">4</w:t>
            </w:r>
          </w:p>
        </w:tc>
        <w:tc>
          <w:tcPr>
            <w:tcW w:w="2600" w:type="pct"/>
          </w:tcPr>
          <w:p>
            <w:pPr>
              <w:spacing w:after="0" w:line="240" w:lineRule="auto"/>
            </w:pPr>
            <w:r>
              <w:t xml:space="preserve">Calls in flight at once</w:t>
            </w:r>
          </w:p>
        </w:tc>
      </w:tr>
      <w:tr>
        <w:tc>
          <w:tcPr>
            <w:tcW w:w="1700" w:type="pct"/>
          </w:tcPr>
          <w:p>
            <w:pPr>
              <w:spacing w:after="0" w:line="240" w:lineRule="auto"/>
            </w:pPr>
            <w:r>
              <w:rPr>
                <w:rFonts w:ascii="Consolas" w:hAnsi="Consolas" w:cs="Consolas"/>
                <w:sz w:val="17"/>
              </w:rPr>
              <w:t xml:space="preserve">RECON_LLM_TIMEOUT_MS</w:t>
            </w:r>
          </w:p>
        </w:tc>
        <w:tc>
          <w:tcPr>
            <w:tcW w:w="700" w:type="pct"/>
          </w:tcPr>
          <w:p>
            <w:pPr>
              <w:spacing w:after="0" w:line="240" w:lineRule="auto"/>
            </w:pPr>
            <w:r>
              <w:t xml:space="preserve">75000</w:t>
            </w:r>
          </w:p>
        </w:tc>
        <w:tc>
          <w:tcPr>
            <w:tcW w:w="2600" w:type="pct"/>
          </w:tcPr>
          <w:p>
            <w:pPr>
              <w:spacing w:after="0" w:line="240" w:lineRule="auto"/>
            </w:pPr>
            <w:r>
              <w:t xml:space="preserve">Per-call ceiling; an overrun degrades to the derived checks, it never hangs</w:t>
            </w:r>
          </w:p>
        </w:tc>
      </w:tr>
      <w:tr>
        <w:tc>
          <w:tcPr>
            <w:tcW w:w="1700" w:type="pct"/>
          </w:tcPr>
          <w:p>
            <w:pPr>
              <w:spacing w:after="0" w:line="240" w:lineRule="auto"/>
            </w:pPr>
            <w:r>
              <w:rPr>
                <w:rFonts w:ascii="Consolas" w:hAnsi="Consolas" w:cs="Consolas"/>
                <w:sz w:val="17"/>
              </w:rPr>
              <w:t xml:space="preserve">RECON_MAX_OUTPUT_TOKENS</w:t>
            </w:r>
          </w:p>
        </w:tc>
        <w:tc>
          <w:tcPr>
            <w:tcW w:w="700" w:type="pct"/>
          </w:tcPr>
          <w:p>
            <w:pPr>
              <w:spacing w:after="0" w:line="240" w:lineRule="auto"/>
            </w:pPr>
            <w:r>
              <w:t xml:space="preserve">1600</w:t>
            </w:r>
          </w:p>
        </w:tc>
        <w:tc>
          <w:tcPr>
            <w:tcW w:w="2600" w:type="pct"/>
          </w:tcPr>
          <w:p>
            <w:pPr>
              <w:spacing w:after="0" w:line="240" w:lineRule="auto"/>
            </w:pPr>
            <w:r>
              <w:t xml:space="preserve">Output budget per target table</w:t>
            </w:r>
          </w:p>
        </w:tc>
      </w:tr>
      <w:tr>
        <w:tc>
          <w:tcPr>
            <w:tcW w:w="1700" w:type="pct"/>
          </w:tcPr>
          <w:p>
            <w:pPr>
              <w:spacing w:after="0" w:line="240" w:lineRule="auto"/>
            </w:pPr>
            <w:r>
              <w:rPr>
                <w:rFonts w:ascii="Consolas" w:hAnsi="Consolas" w:cs="Consolas"/>
                <w:sz w:val="17"/>
              </w:rPr>
              <w:t xml:space="preserve">RECON_DOC_CONCURRENCY</w:t>
            </w:r>
          </w:p>
        </w:tc>
        <w:tc>
          <w:tcPr>
            <w:tcW w:w="700" w:type="pct"/>
          </w:tcPr>
          <w:p>
            <w:pPr>
              <w:spacing w:after="0" w:line="240" w:lineRule="auto"/>
            </w:pPr>
            <w:r>
              <w:t xml:space="preserve">3</w:t>
            </w:r>
          </w:p>
        </w:tc>
        <w:tc>
          <w:tcPr>
            <w:tcW w:w="2600" w:type="pct"/>
          </w:tcPr>
          <w:p>
            <w:pPr>
              <w:spacing w:after="0" w:line="240" w:lineRule="auto"/>
            </w:pPr>
            <w:r>
              <w:t xml:space="preserve">Parallel calls while writing the document</w:t>
            </w:r>
          </w:p>
        </w:tc>
      </w:tr>
      <w:tr>
        <w:tc>
          <w:tcPr>
            <w:tcW w:w="1700" w:type="pct"/>
          </w:tcPr>
          <w:p>
            <w:pPr>
              <w:spacing w:after="0" w:line="240" w:lineRule="auto"/>
            </w:pPr>
            <w:r>
              <w:rPr>
                <w:rFonts w:ascii="Consolas" w:hAnsi="Consolas" w:cs="Consolas"/>
                <w:sz w:val="17"/>
              </w:rPr>
              <w:t xml:space="preserve">RECON_DOC_LLM_TIMEOUT_MS</w:t>
            </w:r>
          </w:p>
        </w:tc>
        <w:tc>
          <w:tcPr>
            <w:tcW w:w="700" w:type="pct"/>
          </w:tcPr>
          <w:p>
            <w:pPr>
              <w:spacing w:after="0" w:line="240" w:lineRule="auto"/>
            </w:pPr>
            <w:r>
              <w:t xml:space="preserve">100000</w:t>
            </w:r>
          </w:p>
        </w:tc>
        <w:tc>
          <w:tcPr>
            <w:tcW w:w="2600" w:type="pct"/>
          </w:tcPr>
          <w:p>
            <w:pPr>
              <w:spacing w:after="0" w:line="240" w:lineRule="auto"/>
            </w:pPr>
            <w:r>
              <w:t xml:space="preserve">Per-call ceiling for the document's prose</w:t>
            </w:r>
          </w:p>
        </w:tc>
      </w:tr>
      <w:tr>
        <w:tc>
          <w:tcPr>
            <w:tcW w:w="1700" w:type="pct"/>
          </w:tcPr>
          <w:p>
            <w:pPr>
              <w:spacing w:after="0" w:line="240" w:lineRule="auto"/>
            </w:pPr>
            <w:r>
              <w:rPr>
                <w:rFonts w:ascii="Consolas" w:hAnsi="Consolas" w:cs="Consolas"/>
                <w:sz w:val="17"/>
              </w:rPr>
              <w:t xml:space="preserve">RECON_DOC_TEMPLATE</w:t>
            </w:r>
          </w:p>
        </w:tc>
        <w:tc>
          <w:tcPr>
            <w:tcW w:w="700" w:type="pct"/>
          </w:tcPr>
          <w:p>
            <w:pPr>
              <w:spacing w:after="0" w:line="240" w:lineRule="auto"/>
            </w:pPr>
            <w:r>
              <w:t xml:space="preserve">unset</w:t>
            </w:r>
          </w:p>
        </w:tc>
        <w:tc>
          <w:tcPr>
            <w:tcW w:w="2600" w:type="pct"/>
          </w:tcPr>
          <w:p>
            <w:pPr>
              <w:spacing w:after="0" w:line="240" w:lineRule="auto"/>
            </w:pPr>
            <w:r>
              <w:t xml:space="preserve">Word template path, below --template but above the bundled copy</w:t>
            </w:r>
          </w:p>
        </w:tc>
      </w:tr>
    </w:tbl>
    <w:p>
      <w:pPr>
        <w:spacing w:after="0" w:line="240" w:lineRule="auto"/>
      </w:pPr>
    </w:p>
    <w:p>
      <w:pPr>
        <w:pStyle w:val="Heading2"/>
      </w:pPr>
      <w:r>
        <w:t xml:space="preserve">How the Word template is found</w:t>
      </w:r>
    </w:p>
    <w:p>
      <w:pPr>
        <w:pStyle w:val="Listnumber1"/>
      </w:pPr>
      <w:r>
        <w:t xml:space="preserve">--template &lt;path&gt; — an explicit path wins, and is an error if it does not exist</w:t>
      </w:r>
    </w:p>
    <w:p>
      <w:pPr>
        <w:pStyle w:val="Listnumber1"/>
      </w:pPr>
      <w:r>
        <w:t xml:space="preserve">$RECON_DOC_TEMPLATE</w:t>
      </w:r>
    </w:p>
    <w:p>
      <w:pPr>
        <w:pStyle w:val="Listnumber1"/>
      </w:pPr>
      <w:r>
        <w:t xml:space="preserve">A copy named "Document Title.docx" in the project folder being scanned</w:t>
      </w:r>
    </w:p>
    <w:p>
      <w:pPr>
        <w:pStyle w:val="Listnumber1"/>
      </w:pPr>
      <w:r>
        <w:t xml:space="preserve">The copy bundled at server/templates/, shipped by package.json's files</w:t>
      </w:r>
    </w:p>
    <w:p>
      <w:pPr>
        <w:pStyle w:val="Listnumber1"/>
      </w:pPr>
      <w:r>
        <w:t xml:space="preserve">Up to five directories above the running module — so a git clone needs no configuration</w:t>
      </w:r>
    </w:p>
    <w:p>
      <w:r>
        <w:t xml:space="preserve">Finding nothing is a warning, not an error: the Markdown is still the whole document. Note that the file name is gitignored, so a clone will fall through to step 5 or to no template at all.</w:t>
      </w:r>
    </w:p>
    <w:p>
      <w:r>
        <w:br w:type="page"/>
      </w:r>
    </w:p>
    <w:p>
      <w:pPr>
        <w:pStyle w:val="Heading1"/>
      </w:pPr>
      <w:r>
        <w:t xml:space="preserve">API reference</w:t>
      </w:r>
    </w:p>
    <w:p>
      <w:r>
        <w:t xml:space="preserve">All routes are mounted under /api. Everything except /api/local and /api/health goes through the requireConnection middleware.</w:t>
      </w:r>
    </w:p>
    <w:tbl>
      <w:tblPr>
        <w:tblStyle w:val="Style1"/>
        <w:tblW w:w="5000" w:type="pct"/>
        <w:tblLook w:val="04A0" w:firstRow="1" w:lastRow="0" w:firstColumn="1" w:lastColumn="0" w:noHBand="0" w:noVBand="1"/>
      </w:tblPr>
      <w:tblGrid>
        <w:gridCol w:w="992"/>
        <w:gridCol w:w="3967"/>
        <w:gridCol w:w="4959"/>
      </w:tblGrid>
      <w:tr>
        <w:trPr>
          <w:cnfStyle w:val="100000000000" w:firstRow="1" w:lastRow="0" w:firstColumn="0" w:lastColumn="0" w:oddVBand="0" w:evenVBand="0" w:oddHBand="0" w:evenHBand="0" w:firstRowFirstColumn="0" w:firstRowLastColumn="0" w:lastRowFirstColumn="0" w:lastRowLastColumn="0"/>
          <w:tblHeader/>
          <w:trHeight w:val="397"/>
        </w:trPr>
        <w:tc>
          <w:tcPr>
            <w:tcW w:w="500" w:type="pct"/>
          </w:tcPr>
          <w:p>
            <w:pPr>
              <w:spacing w:after="0" w:line="240" w:lineRule="auto"/>
            </w:pPr>
            <w:r>
              <w:rPr>
                <w:b/>
                <w:color w:val="FFFFFF" w:themeColor="background1"/>
              </w:rPr>
              <w:t xml:space="preserve">Method</w:t>
            </w:r>
          </w:p>
        </w:tc>
        <w:tc>
          <w:tcPr>
            <w:tcW w:w="2000" w:type="pct"/>
          </w:tcPr>
          <w:p>
            <w:pPr>
              <w:spacing w:after="0" w:line="240" w:lineRule="auto"/>
            </w:pPr>
            <w:r>
              <w:rPr>
                <w:b/>
                <w:color w:val="FFFFFF" w:themeColor="background1"/>
              </w:rPr>
              <w:t xml:space="preserve">Path</w:t>
            </w:r>
          </w:p>
        </w:tc>
        <w:tc>
          <w:tcPr>
            <w:tcW w:w="2500" w:type="pct"/>
          </w:tcPr>
          <w:p>
            <w:pPr>
              <w:spacing w:after="0" w:line="240" w:lineRule="auto"/>
            </w:pPr>
            <w:r>
              <w:rPr>
                <w:b/>
                <w:color w:val="FFFFFF" w:themeColor="background1"/>
              </w:rPr>
              <w:t xml:space="preserve">Purpose</w:t>
            </w:r>
          </w:p>
        </w:tc>
      </w:tr>
      <w:tr>
        <w:tc>
          <w:tcPr>
            <w:tcW w:w="500" w:type="pct"/>
          </w:tcPr>
          <w:p>
            <w:pPr>
              <w:spacing w:after="0" w:line="240" w:lineRule="auto"/>
            </w:pPr>
            <w:r>
              <w:t xml:space="preserve">GET</w:t>
            </w:r>
          </w:p>
        </w:tc>
        <w:tc>
          <w:tcPr>
            <w:tcW w:w="2000" w:type="pct"/>
          </w:tcPr>
          <w:p>
            <w:pPr>
              <w:spacing w:after="0" w:line="240" w:lineRule="auto"/>
            </w:pPr>
            <w:r>
              <w:rPr>
                <w:rFonts w:ascii="Consolas" w:hAnsi="Consolas" w:cs="Consolas"/>
                <w:sz w:val="17"/>
              </w:rPr>
              <w:t xml:space="preserve">/api/health</w:t>
            </w:r>
          </w:p>
        </w:tc>
        <w:tc>
          <w:tcPr>
            <w:tcW w:w="2500" w:type="pct"/>
          </w:tcPr>
          <w:p>
            <w:pPr>
              <w:spacing w:after="0" w:line="240" w:lineRule="auto"/>
            </w:pPr>
            <w:r>
              <w:t xml:space="preserve">Liveness — returns { ok: true }</w:t>
            </w:r>
          </w:p>
        </w:tc>
      </w:tr>
      <w:tr>
        <w:tc>
          <w:tcPr>
            <w:tcW w:w="500" w:type="pct"/>
          </w:tcPr>
          <w:p>
            <w:pPr>
              <w:spacing w:after="0" w:line="240" w:lineRule="auto"/>
            </w:pPr>
            <w:r>
              <w:t xml:space="preserve">POST</w:t>
            </w:r>
          </w:p>
        </w:tc>
        <w:tc>
          <w:tcPr>
            <w:tcW w:w="2000" w:type="pct"/>
          </w:tcPr>
          <w:p>
            <w:pPr>
              <w:spacing w:after="0" w:line="240" w:lineRule="auto"/>
            </w:pPr>
            <w:r>
              <w:rPr>
                <w:rFonts w:ascii="Consolas" w:hAnsi="Consolas" w:cs="Consolas"/>
                <w:sz w:val="17"/>
              </w:rPr>
              <w:t xml:space="preserve">/api/connections</w:t>
            </w:r>
          </w:p>
        </w:tc>
        <w:tc>
          <w:tcPr>
            <w:tcW w:w="2500" w:type="pct"/>
          </w:tcPr>
          <w:p>
            <w:pPr>
              <w:spacing w:after="0" w:line="240" w:lineRule="auto"/>
            </w:pPr>
            <w:r>
              <w:t xml:space="preserve">Establish a Databricks connection; resets the store</w:t>
            </w:r>
          </w:p>
        </w:tc>
      </w:tr>
      <w:tr>
        <w:tc>
          <w:tcPr>
            <w:tcW w:w="500" w:type="pct"/>
          </w:tcPr>
          <w:p>
            <w:pPr>
              <w:spacing w:after="0" w:line="240" w:lineRule="auto"/>
            </w:pPr>
            <w:r>
              <w:t xml:space="preserve">GET</w:t>
            </w:r>
          </w:p>
        </w:tc>
        <w:tc>
          <w:tcPr>
            <w:tcW w:w="2000" w:type="pct"/>
          </w:tcPr>
          <w:p>
            <w:pPr>
              <w:spacing w:after="0" w:line="240" w:lineRule="auto"/>
            </w:pPr>
            <w:r>
              <w:rPr>
                <w:rFonts w:ascii="Consolas" w:hAnsi="Consolas" w:cs="Consolas"/>
                <w:sz w:val="17"/>
              </w:rPr>
              <w:t xml:space="preserve">/api/connections/status</w:t>
            </w:r>
          </w:p>
        </w:tc>
        <w:tc>
          <w:tcPr>
            <w:tcW w:w="2500" w:type="pct"/>
          </w:tcPr>
          <w:p>
            <w:pPr>
              <w:spacing w:after="0" w:line="240" w:lineRule="auto"/>
            </w:pPr>
            <w:r>
              <w:t xml:space="preserve">Whether a connection is established</w:t>
            </w:r>
          </w:p>
        </w:tc>
      </w:tr>
      <w:tr>
        <w:tc>
          <w:tcPr>
            <w:tcW w:w="500" w:type="pct"/>
          </w:tcPr>
          <w:p>
            <w:pPr>
              <w:spacing w:after="0" w:line="240" w:lineRule="auto"/>
            </w:pPr>
            <w:r>
              <w:t xml:space="preserve">DELETE</w:t>
            </w:r>
          </w:p>
        </w:tc>
        <w:tc>
          <w:tcPr>
            <w:tcW w:w="2000" w:type="pct"/>
          </w:tcPr>
          <w:p>
            <w:pPr>
              <w:spacing w:after="0" w:line="240" w:lineRule="auto"/>
            </w:pPr>
            <w:r>
              <w:rPr>
                <w:rFonts w:ascii="Consolas" w:hAnsi="Consolas" w:cs="Consolas"/>
                <w:sz w:val="17"/>
              </w:rPr>
              <w:t xml:space="preserve">/api/connections</w:t>
            </w:r>
          </w:p>
        </w:tc>
        <w:tc>
          <w:tcPr>
            <w:tcW w:w="2500" w:type="pct"/>
          </w:tcPr>
          <w:p>
            <w:pPr>
              <w:spacing w:after="0" w:line="240" w:lineRule="auto"/>
            </w:pPr>
            <w:r>
              <w:t xml:space="preserve">Drop the connection</w:t>
            </w:r>
          </w:p>
        </w:tc>
      </w:tr>
      <w:tr>
        <w:tc>
          <w:tcPr>
            <w:tcW w:w="500" w:type="pct"/>
          </w:tcPr>
          <w:p>
            <w:pPr>
              <w:spacing w:after="0" w:line="240" w:lineRule="auto"/>
            </w:pPr>
            <w:r>
              <w:t xml:space="preserve">GET</w:t>
            </w:r>
          </w:p>
        </w:tc>
        <w:tc>
          <w:tcPr>
            <w:tcW w:w="2000" w:type="pct"/>
          </w:tcPr>
          <w:p>
            <w:pPr>
              <w:spacing w:after="0" w:line="240" w:lineRule="auto"/>
            </w:pPr>
            <w:r>
              <w:rPr>
                <w:rFonts w:ascii="Consolas" w:hAnsi="Consolas" w:cs="Consolas"/>
                <w:sz w:val="17"/>
              </w:rPr>
              <w:t xml:space="preserve">/api/catalogs</w:t>
            </w:r>
          </w:p>
        </w:tc>
        <w:tc>
          <w:tcPr>
            <w:tcW w:w="2500" w:type="pct"/>
          </w:tcPr>
          <w:p>
            <w:pPr>
              <w:spacing w:after="0" w:line="240" w:lineRule="auto"/>
            </w:pPr>
            <w:r>
              <w:t xml:space="preserve">List catalogs</w:t>
            </w:r>
          </w:p>
        </w:tc>
      </w:tr>
      <w:tr>
        <w:tc>
          <w:tcPr>
            <w:tcW w:w="500" w:type="pct"/>
          </w:tcPr>
          <w:p>
            <w:pPr>
              <w:spacing w:after="0" w:line="240" w:lineRule="auto"/>
            </w:pPr>
            <w:r>
              <w:t xml:space="preserve">GET</w:t>
            </w:r>
          </w:p>
        </w:tc>
        <w:tc>
          <w:tcPr>
            <w:tcW w:w="2000" w:type="pct"/>
          </w:tcPr>
          <w:p>
            <w:pPr>
              <w:spacing w:after="0" w:line="240" w:lineRule="auto"/>
            </w:pPr>
            <w:r>
              <w:rPr>
                <w:rFonts w:ascii="Consolas" w:hAnsi="Consolas" w:cs="Consolas"/>
                <w:sz w:val="17"/>
              </w:rPr>
              <w:t xml:space="preserve">/api/catalogs/:catalog/schemas</w:t>
            </w:r>
          </w:p>
        </w:tc>
        <w:tc>
          <w:tcPr>
            <w:tcW w:w="2500" w:type="pct"/>
          </w:tcPr>
          <w:p>
            <w:pPr>
              <w:spacing w:after="0" w:line="240" w:lineRule="auto"/>
            </w:pPr>
            <w:r>
              <w:t xml:space="preserve">List schemas in a catalog</w:t>
            </w:r>
          </w:p>
        </w:tc>
      </w:tr>
      <w:tr>
        <w:tc>
          <w:tcPr>
            <w:tcW w:w="500" w:type="pct"/>
          </w:tcPr>
          <w:p>
            <w:pPr>
              <w:spacing w:after="0" w:line="240" w:lineRule="auto"/>
            </w:pPr>
            <w:r>
              <w:t xml:space="preserve">GET</w:t>
            </w:r>
          </w:p>
        </w:tc>
        <w:tc>
          <w:tcPr>
            <w:tcW w:w="2000" w:type="pct"/>
          </w:tcPr>
          <w:p>
            <w:pPr>
              <w:spacing w:after="0" w:line="240" w:lineRule="auto"/>
            </w:pPr>
            <w:r>
              <w:rPr>
                <w:rFonts w:ascii="Consolas" w:hAnsi="Consolas" w:cs="Consolas"/>
                <w:sz w:val="17"/>
              </w:rPr>
              <w:t xml:space="preserve">/api/catalogs/:catalog/schemas/:schema/tables</w:t>
            </w:r>
          </w:p>
        </w:tc>
        <w:tc>
          <w:tcPr>
            <w:tcW w:w="2500" w:type="pct"/>
          </w:tcPr>
          <w:p>
            <w:pPr>
              <w:spacing w:after="0" w:line="240" w:lineRule="auto"/>
            </w:pPr>
            <w:r>
              <w:t xml:space="preserve">List tables in a schema</w:t>
            </w:r>
          </w:p>
        </w:tc>
      </w:tr>
      <w:tr>
        <w:tc>
          <w:tcPr>
            <w:tcW w:w="500" w:type="pct"/>
          </w:tcPr>
          <w:p>
            <w:pPr>
              <w:spacing w:after="0" w:line="240" w:lineRule="auto"/>
            </w:pPr>
            <w:r>
              <w:t xml:space="preserve">GET</w:t>
            </w:r>
          </w:p>
        </w:tc>
        <w:tc>
          <w:tcPr>
            <w:tcW w:w="2000" w:type="pct"/>
          </w:tcPr>
          <w:p>
            <w:pPr>
              <w:spacing w:after="0" w:line="240" w:lineRule="auto"/>
            </w:pPr>
            <w:r>
              <w:rPr>
                <w:rFonts w:ascii="Consolas" w:hAnsi="Consolas" w:cs="Consolas"/>
                <w:sz w:val="17"/>
              </w:rPr>
              <w:t xml:space="preserve">/api/notebooks/browse</w:t>
            </w:r>
          </w:p>
        </w:tc>
        <w:tc>
          <w:tcPr>
            <w:tcW w:w="2500" w:type="pct"/>
          </w:tcPr>
          <w:p>
            <w:pPr>
              <w:spacing w:after="0" w:line="240" w:lineRule="auto"/>
            </w:pPr>
            <w:r>
              <w:t xml:space="preserve">Browse the workspace tree</w:t>
            </w:r>
          </w:p>
        </w:tc>
      </w:tr>
      <w:tr>
        <w:tc>
          <w:tcPr>
            <w:tcW w:w="500" w:type="pct"/>
          </w:tcPr>
          <w:p>
            <w:pPr>
              <w:spacing w:after="0" w:line="240" w:lineRule="auto"/>
            </w:pPr>
            <w:r>
              <w:t xml:space="preserve">GET</w:t>
            </w:r>
          </w:p>
        </w:tc>
        <w:tc>
          <w:tcPr>
            <w:tcW w:w="2000" w:type="pct"/>
          </w:tcPr>
          <w:p>
            <w:pPr>
              <w:spacing w:after="0" w:line="240" w:lineRule="auto"/>
            </w:pPr>
            <w:r>
              <w:rPr>
                <w:rFonts w:ascii="Consolas" w:hAnsi="Consolas" w:cs="Consolas"/>
                <w:sz w:val="17"/>
              </w:rPr>
              <w:t xml:space="preserve">/api/notebooks</w:t>
            </w:r>
          </w:p>
        </w:tc>
        <w:tc>
          <w:tcPr>
            <w:tcW w:w="2500" w:type="pct"/>
          </w:tcPr>
          <w:p>
            <w:pPr>
              <w:spacing w:after="0" w:line="240" w:lineRule="auto"/>
            </w:pPr>
            <w:r>
              <w:t xml:space="preserve">List notebooks under a root</w:t>
            </w:r>
          </w:p>
        </w:tc>
      </w:tr>
      <w:tr>
        <w:tc>
          <w:tcPr>
            <w:tcW w:w="500" w:type="pct"/>
          </w:tcPr>
          <w:p>
            <w:pPr>
              <w:spacing w:after="0" w:line="240" w:lineRule="auto"/>
            </w:pPr>
            <w:r>
              <w:t xml:space="preserve">GET | PUT</w:t>
            </w:r>
          </w:p>
        </w:tc>
        <w:tc>
          <w:tcPr>
            <w:tcW w:w="2000" w:type="pct"/>
          </w:tcPr>
          <w:p>
            <w:pPr>
              <w:spacing w:after="0" w:line="240" w:lineRule="auto"/>
            </w:pPr>
            <w:r>
              <w:rPr>
                <w:rFonts w:ascii="Consolas" w:hAnsi="Consolas" w:cs="Consolas"/>
                <w:sz w:val="17"/>
              </w:rPr>
              <w:t xml:space="preserve">/api/notebooks/groups</w:t>
            </w:r>
          </w:p>
        </w:tc>
        <w:tc>
          <w:tcPr>
            <w:tcW w:w="2500" w:type="pct"/>
          </w:tcPr>
          <w:p>
            <w:pPr>
              <w:spacing w:after="0" w:line="240" w:lineRule="auto"/>
            </w:pPr>
            <w:r>
              <w:t xml:space="preserve">Read or override the likely-fork grouping</w:t>
            </w:r>
          </w:p>
        </w:tc>
      </w:tr>
      <w:tr>
        <w:tc>
          <w:tcPr>
            <w:tcW w:w="500" w:type="pct"/>
          </w:tcPr>
          <w:p>
            <w:pPr>
              <w:spacing w:after="0" w:line="240" w:lineRule="auto"/>
            </w:pPr>
            <w:r>
              <w:t xml:space="preserve">POST | GET</w:t>
            </w:r>
          </w:p>
        </w:tc>
        <w:tc>
          <w:tcPr>
            <w:tcW w:w="2000" w:type="pct"/>
          </w:tcPr>
          <w:p>
            <w:pPr>
              <w:spacing w:after="0" w:line="240" w:lineRule="auto"/>
            </w:pPr>
            <w:r>
              <w:rPr>
                <w:rFonts w:ascii="Consolas" w:hAnsi="Consolas" w:cs="Consolas"/>
                <w:sz w:val="17"/>
              </w:rPr>
              <w:t xml:space="preserve">/api/reconcile, /api/reconcile/results</w:t>
            </w:r>
          </w:p>
        </w:tc>
        <w:tc>
          <w:tcPr>
            <w:tcW w:w="2500" w:type="pct"/>
          </w:tcPr>
          <w:p>
            <w:pPr>
              <w:spacing w:after="0" w:line="240" w:lineRule="auto"/>
            </w:pPr>
            <w:r>
              <w:t xml:space="preserve">Run the cross-notebook diff, then read it back</w:t>
            </w:r>
          </w:p>
        </w:tc>
      </w:tr>
      <w:tr>
        <w:tc>
          <w:tcPr>
            <w:tcW w:w="500" w:type="pct"/>
          </w:tcPr>
          <w:p>
            <w:pPr>
              <w:spacing w:after="0" w:line="240" w:lineRule="auto"/>
            </w:pPr>
            <w:r>
              <w:t xml:space="preserve">POST</w:t>
            </w:r>
          </w:p>
        </w:tc>
        <w:tc>
          <w:tcPr>
            <w:tcW w:w="2000" w:type="pct"/>
          </w:tcPr>
          <w:p>
            <w:pPr>
              <w:spacing w:after="0" w:line="240" w:lineRule="auto"/>
            </w:pPr>
            <w:r>
              <w:rPr>
                <w:rFonts w:ascii="Consolas" w:hAnsi="Consolas" w:cs="Consolas"/>
                <w:sz w:val="17"/>
              </w:rPr>
              <w:t xml:space="preserve">/api/bronze-silver/compare</w:t>
            </w:r>
          </w:p>
        </w:tc>
        <w:tc>
          <w:tcPr>
            <w:tcW w:w="2500" w:type="pct"/>
          </w:tcPr>
          <w:p>
            <w:pPr>
              <w:spacing w:after="0" w:line="240" w:lineRule="auto"/>
            </w:pPr>
            <w:r>
              <w:t xml:space="preserve">COUNT(*) across adjacent schemas</w:t>
            </w:r>
          </w:p>
        </w:tc>
      </w:tr>
      <w:tr>
        <w:tc>
          <w:tcPr>
            <w:tcW w:w="500" w:type="pct"/>
          </w:tcPr>
          <w:p>
            <w:pPr>
              <w:spacing w:after="0" w:line="240" w:lineRule="auto"/>
            </w:pPr>
            <w:r>
              <w:t xml:space="preserve">GET</w:t>
            </w:r>
          </w:p>
        </w:tc>
        <w:tc>
          <w:tcPr>
            <w:tcW w:w="2000" w:type="pct"/>
          </w:tcPr>
          <w:p>
            <w:pPr>
              <w:spacing w:after="0" w:line="240" w:lineRule="auto"/>
            </w:pPr>
            <w:r>
              <w:rPr>
                <w:rFonts w:ascii="Consolas" w:hAnsi="Consolas" w:cs="Consolas"/>
                <w:sz w:val="17"/>
              </w:rPr>
              <w:t xml:space="preserve">/api/bronze-silver/mismatches</w:t>
            </w:r>
          </w:p>
        </w:tc>
        <w:tc>
          <w:tcPr>
            <w:tcW w:w="2500" w:type="pct"/>
          </w:tcPr>
          <w:p>
            <w:pPr>
              <w:spacing w:after="0" w:line="240" w:lineRule="auto"/>
            </w:pPr>
            <w:r>
              <w:t xml:space="preserve">The mismatches found</w:t>
            </w:r>
          </w:p>
        </w:tc>
      </w:tr>
      <w:tr>
        <w:tc>
          <w:tcPr>
            <w:tcW w:w="500" w:type="pct"/>
          </w:tcPr>
          <w:p>
            <w:pPr>
              <w:spacing w:after="0" w:line="240" w:lineRule="auto"/>
            </w:pPr>
            <w:r>
              <w:t xml:space="preserve">POST</w:t>
            </w:r>
          </w:p>
        </w:tc>
        <w:tc>
          <w:tcPr>
            <w:tcW w:w="2000" w:type="pct"/>
          </w:tcPr>
          <w:p>
            <w:pPr>
              <w:spacing w:after="0" w:line="240" w:lineRule="auto"/>
            </w:pPr>
            <w:r>
              <w:rPr>
                <w:rFonts w:ascii="Consolas" w:hAnsi="Consolas" w:cs="Consolas"/>
                <w:sz w:val="17"/>
              </w:rPr>
              <w:t xml:space="preserve">/api/bronze-silver/analyze</w:t>
            </w:r>
          </w:p>
        </w:tc>
        <w:tc>
          <w:tcPr>
            <w:tcW w:w="2500" w:type="pct"/>
          </w:tcPr>
          <w:p>
            <w:pPr>
              <w:spacing w:after="0" w:line="240" w:lineRule="auto"/>
            </w:pPr>
            <w:r>
              <w:t xml:space="preserve">Ask the model which code caused a mismatch</w:t>
            </w:r>
          </w:p>
        </w:tc>
      </w:tr>
      <w:tr>
        <w:tc>
          <w:tcPr>
            <w:tcW w:w="500" w:type="pct"/>
          </w:tcPr>
          <w:p>
            <w:pPr>
              <w:spacing w:after="0" w:line="240" w:lineRule="auto"/>
            </w:pPr>
            <w:r>
              <w:t xml:space="preserve">POST | GET</w:t>
            </w:r>
          </w:p>
        </w:tc>
        <w:tc>
          <w:tcPr>
            <w:tcW w:w="2000" w:type="pct"/>
          </w:tcPr>
          <w:p>
            <w:pPr>
              <w:spacing w:after="0" w:line="240" w:lineRule="auto"/>
            </w:pPr>
            <w:r>
              <w:rPr>
                <w:rFonts w:ascii="Consolas" w:hAnsi="Consolas" w:cs="Consolas"/>
                <w:sz w:val="17"/>
              </w:rPr>
              <w:t xml:space="preserve">/api/lineage, /api/lineage/results</w:t>
            </w:r>
          </w:p>
        </w:tc>
        <w:tc>
          <w:tcPr>
            <w:tcW w:w="2500" w:type="pct"/>
          </w:tcPr>
          <w:p>
            <w:pPr>
              <w:spacing w:after="0" w:line="240" w:lineRule="auto"/>
            </w:pPr>
            <w:r>
              <w:t xml:space="preserve">Discover fan-out from a source table</w:t>
            </w:r>
          </w:p>
        </w:tc>
      </w:tr>
      <w:tr>
        <w:tc>
          <w:tcPr>
            <w:tcW w:w="500" w:type="pct"/>
          </w:tcPr>
          <w:p>
            <w:pPr>
              <w:spacing w:after="0" w:line="240" w:lineRule="auto"/>
            </w:pPr>
            <w:r>
              <w:t xml:space="preserve">POST</w:t>
            </w:r>
          </w:p>
        </w:tc>
        <w:tc>
          <w:tcPr>
            <w:tcW w:w="2000" w:type="pct"/>
          </w:tcPr>
          <w:p>
            <w:pPr>
              <w:spacing w:after="0" w:line="240" w:lineRule="auto"/>
            </w:pPr>
            <w:r>
              <w:rPr>
                <w:rFonts w:ascii="Consolas" w:hAnsi="Consolas" w:cs="Consolas"/>
                <w:sz w:val="17"/>
              </w:rPr>
              <w:t xml:space="preserve">/api/lineage/explain</w:t>
            </w:r>
          </w:p>
        </w:tc>
        <w:tc>
          <w:tcPr>
            <w:tcW w:w="2500" w:type="pct"/>
          </w:tcPr>
          <w:p>
            <w:pPr>
              <w:spacing w:after="0" w:line="240" w:lineRule="auto"/>
            </w:pPr>
            <w:r>
              <w:t xml:space="preserve">Explain every discovered candidate in one call</w:t>
            </w:r>
          </w:p>
        </w:tc>
      </w:tr>
      <w:tr>
        <w:tc>
          <w:tcPr>
            <w:tcW w:w="500" w:type="pct"/>
          </w:tcPr>
          <w:p>
            <w:pPr>
              <w:spacing w:after="0" w:line="240" w:lineRule="auto"/>
            </w:pPr>
            <w:r>
              <w:t xml:space="preserve">POST</w:t>
            </w:r>
          </w:p>
        </w:tc>
        <w:tc>
          <w:tcPr>
            <w:tcW w:w="2000" w:type="pct"/>
          </w:tcPr>
          <w:p>
            <w:pPr>
              <w:spacing w:after="0" w:line="240" w:lineRule="auto"/>
            </w:pPr>
            <w:r>
              <w:rPr>
                <w:rFonts w:ascii="Consolas" w:hAnsi="Consolas" w:cs="Consolas"/>
                <w:sz w:val="17"/>
              </w:rPr>
              <w:t xml:space="preserve">/api/validate-logic</w:t>
            </w:r>
          </w:p>
        </w:tc>
        <w:tc>
          <w:tcPr>
            <w:tcW w:w="2500" w:type="pct"/>
          </w:tcPr>
          <w:p>
            <w:pPr>
              <w:spacing w:after="0" w:line="240" w:lineRule="auto"/>
            </w:pPr>
            <w:r>
              <w:t xml:space="preserve">Check a business rule against the code that writes a table</w:t>
            </w:r>
          </w:p>
        </w:tc>
      </w:tr>
      <w:tr>
        <w:tc>
          <w:tcPr>
            <w:tcW w:w="500" w:type="pct"/>
          </w:tcPr>
          <w:p>
            <w:pPr>
              <w:spacing w:after="0" w:line="240" w:lineRule="auto"/>
            </w:pPr>
            <w:r>
              <w:t xml:space="preserve">POST</w:t>
            </w:r>
          </w:p>
        </w:tc>
        <w:tc>
          <w:tcPr>
            <w:tcW w:w="2000" w:type="pct"/>
          </w:tcPr>
          <w:p>
            <w:pPr>
              <w:spacing w:after="0" w:line="240" w:lineRule="auto"/>
            </w:pPr>
            <w:r>
              <w:rPr>
                <w:rFonts w:ascii="Consolas" w:hAnsi="Consolas" w:cs="Consolas"/>
                <w:sz w:val="17"/>
              </w:rPr>
              <w:t xml:space="preserve">/api/levels/analyze</w:t>
            </w:r>
          </w:p>
        </w:tc>
        <w:tc>
          <w:tcPr>
            <w:tcW w:w="2500" w:type="pct"/>
          </w:tcPr>
          <w:p>
            <w:pPr>
              <w:spacing w:after="0" w:line="240" w:lineRule="auto"/>
            </w:pPr>
            <w:r>
              <w:t xml:space="preserve">Combined reconciliation report for one hop (code-only)</w:t>
            </w:r>
          </w:p>
        </w:tc>
      </w:tr>
      <w:tr>
        <w:tc>
          <w:tcPr>
            <w:tcW w:w="500" w:type="pct"/>
          </w:tcPr>
          <w:p>
            <w:pPr>
              <w:spacing w:after="0" w:line="240" w:lineRule="auto"/>
            </w:pPr>
            <w:r>
              <w:t xml:space="preserve">POST</w:t>
            </w:r>
          </w:p>
        </w:tc>
        <w:tc>
          <w:tcPr>
            <w:tcW w:w="2000" w:type="pct"/>
          </w:tcPr>
          <w:p>
            <w:pPr>
              <w:spacing w:after="0" w:line="240" w:lineRule="auto"/>
            </w:pPr>
            <w:r>
              <w:rPr>
                <w:rFonts w:ascii="Consolas" w:hAnsi="Consolas" w:cs="Consolas"/>
                <w:sz w:val="17"/>
              </w:rPr>
              <w:t xml:space="preserve">/api/levels/fixes</w:t>
            </w:r>
          </w:p>
        </w:tc>
        <w:tc>
          <w:tcPr>
            <w:tcW w:w="2500" w:type="pct"/>
          </w:tcPr>
          <w:p>
            <w:pPr>
              <w:spacing w:after="0" w:line="240" w:lineRule="auto"/>
            </w:pPr>
            <w:r>
              <w:t xml:space="preserve">Governance fixes for one hop, verified when a warehouseId is given</w:t>
            </w:r>
          </w:p>
        </w:tc>
      </w:tr>
      <w:tr>
        <w:tc>
          <w:tcPr>
            <w:tcW w:w="500" w:type="pct"/>
          </w:tcPr>
          <w:p>
            <w:pPr>
              <w:spacing w:after="0" w:line="240" w:lineRule="auto"/>
            </w:pPr>
            <w:r>
              <w:t xml:space="preserve">GET</w:t>
            </w:r>
          </w:p>
        </w:tc>
        <w:tc>
          <w:tcPr>
            <w:tcW w:w="2000" w:type="pct"/>
          </w:tcPr>
          <w:p>
            <w:pPr>
              <w:spacing w:after="0" w:line="240" w:lineRule="auto"/>
            </w:pPr>
            <w:r>
              <w:rPr>
                <w:rFonts w:ascii="Consolas" w:hAnsi="Consolas" w:cs="Consolas"/>
                <w:sz w:val="17"/>
              </w:rPr>
              <w:t xml:space="preserve">/api/pipeline/warehouses</w:t>
            </w:r>
          </w:p>
        </w:tc>
        <w:tc>
          <w:tcPr>
            <w:tcW w:w="2500" w:type="pct"/>
          </w:tcPr>
          <w:p>
            <w:pPr>
              <w:spacing w:after="0" w:line="240" w:lineRule="auto"/>
            </w:pPr>
            <w:r>
              <w:t xml:space="preserve">List SQL warehouses</w:t>
            </w:r>
          </w:p>
        </w:tc>
      </w:tr>
      <w:tr>
        <w:tc>
          <w:tcPr>
            <w:tcW w:w="500" w:type="pct"/>
          </w:tcPr>
          <w:p>
            <w:pPr>
              <w:spacing w:after="0" w:line="240" w:lineRule="auto"/>
            </w:pPr>
            <w:r>
              <w:t xml:space="preserve">POST</w:t>
            </w:r>
          </w:p>
        </w:tc>
        <w:tc>
          <w:tcPr>
            <w:tcW w:w="2000" w:type="pct"/>
          </w:tcPr>
          <w:p>
            <w:pPr>
              <w:spacing w:after="0" w:line="240" w:lineRule="auto"/>
            </w:pPr>
            <w:r>
              <w:rPr>
                <w:rFonts w:ascii="Consolas" w:hAnsi="Consolas" w:cs="Consolas"/>
                <w:sz w:val="17"/>
              </w:rPr>
              <w:t xml:space="preserve">/api/pipeline/table-counts</w:t>
            </w:r>
          </w:p>
        </w:tc>
        <w:tc>
          <w:tcPr>
            <w:tcW w:w="2500" w:type="pct"/>
          </w:tcPr>
          <w:p>
            <w:pPr>
              <w:spacing w:after="0" w:line="240" w:lineRule="auto"/>
            </w:pPr>
            <w:r>
              <w:t xml:space="preserve">Row counts for the selected tables</w:t>
            </w:r>
          </w:p>
        </w:tc>
      </w:tr>
      <w:tr>
        <w:tc>
          <w:tcPr>
            <w:tcW w:w="500" w:type="pct"/>
          </w:tcPr>
          <w:p>
            <w:pPr>
              <w:spacing w:after="0" w:line="240" w:lineRule="auto"/>
            </w:pPr>
            <w:r>
              <w:t xml:space="preserve">POST</w:t>
            </w:r>
          </w:p>
        </w:tc>
        <w:tc>
          <w:tcPr>
            <w:tcW w:w="2000" w:type="pct"/>
          </w:tcPr>
          <w:p>
            <w:pPr>
              <w:spacing w:after="0" w:line="240" w:lineRule="auto"/>
            </w:pPr>
            <w:r>
              <w:rPr>
                <w:rFonts w:ascii="Consolas" w:hAnsi="Consolas" w:cs="Consolas"/>
                <w:sz w:val="17"/>
              </w:rPr>
              <w:t xml:space="preserve">/api/pipeline/analyze</w:t>
            </w:r>
          </w:p>
        </w:tc>
        <w:tc>
          <w:tcPr>
            <w:tcW w:w="2500" w:type="pct"/>
          </w:tcPr>
          <w:p>
            <w:pPr>
              <w:spacing w:after="0" w:line="240" w:lineRule="auto"/>
            </w:pPr>
            <w:r>
              <w:t xml:space="preserve">The pipeline analysis behind S2 and S3</w:t>
            </w:r>
          </w:p>
        </w:tc>
      </w:tr>
      <w:tr>
        <w:tc>
          <w:tcPr>
            <w:tcW w:w="500" w:type="pct"/>
          </w:tcPr>
          <w:p>
            <w:pPr>
              <w:spacing w:after="0" w:line="240" w:lineRule="auto"/>
            </w:pPr>
            <w:r>
              <w:t xml:space="preserve">POST</w:t>
            </w:r>
          </w:p>
        </w:tc>
        <w:tc>
          <w:tcPr>
            <w:tcW w:w="2000" w:type="pct"/>
          </w:tcPr>
          <w:p>
            <w:pPr>
              <w:spacing w:after="0" w:line="240" w:lineRule="auto"/>
            </w:pPr>
            <w:r>
              <w:rPr>
                <w:rFonts w:ascii="Consolas" w:hAnsi="Consolas" w:cs="Consolas"/>
                <w:sz w:val="17"/>
              </w:rPr>
              <w:t xml:space="preserve">/api/pipeline/summary</w:t>
            </w:r>
          </w:p>
        </w:tc>
        <w:tc>
          <w:tcPr>
            <w:tcW w:w="2500" w:type="pct"/>
          </w:tcPr>
          <w:p>
            <w:pPr>
              <w:spacing w:after="0" w:line="240" w:lineRule="auto"/>
            </w:pPr>
            <w:r>
              <w:t xml:space="preserve">The project summary behind S4</w:t>
            </w:r>
          </w:p>
        </w:tc>
      </w:tr>
      <w:tr>
        <w:tc>
          <w:tcPr>
            <w:tcW w:w="500" w:type="pct"/>
          </w:tcPr>
          <w:p>
            <w:pPr>
              <w:spacing w:after="0" w:line="240" w:lineRule="auto"/>
            </w:pPr>
            <w:r>
              <w:t xml:space="preserve">POST | GET</w:t>
            </w:r>
          </w:p>
        </w:tc>
        <w:tc>
          <w:tcPr>
            <w:tcW w:w="2000" w:type="pct"/>
          </w:tcPr>
          <w:p>
            <w:pPr>
              <w:spacing w:after="0" w:line="240" w:lineRule="auto"/>
            </w:pPr>
            <w:r>
              <w:rPr>
                <w:rFonts w:ascii="Consolas" w:hAnsi="Consolas" w:cs="Consolas"/>
                <w:sz w:val="17"/>
              </w:rPr>
              <w:t xml:space="preserve">/api/local/scan</w:t>
            </w:r>
          </w:p>
        </w:tc>
        <w:tc>
          <w:tcPr>
            <w:tcW w:w="2500" w:type="pct"/>
          </w:tcPr>
          <w:p>
            <w:pPr>
              <w:spacing w:after="0" w:line="240" w:lineRule="auto"/>
            </w:pPr>
            <w:r>
              <w:t xml:space="preserve">Upload a SQL folder, or read back the parsed one</w:t>
            </w:r>
          </w:p>
        </w:tc>
      </w:tr>
      <w:tr>
        <w:tc>
          <w:tcPr>
            <w:tcW w:w="500" w:type="pct"/>
          </w:tcPr>
          <w:p>
            <w:pPr>
              <w:spacing w:after="0" w:line="240" w:lineRule="auto"/>
            </w:pPr>
            <w:r>
              <w:t xml:space="preserve">DELETE</w:t>
            </w:r>
          </w:p>
        </w:tc>
        <w:tc>
          <w:tcPr>
            <w:tcW w:w="2000" w:type="pct"/>
          </w:tcPr>
          <w:p>
            <w:pPr>
              <w:spacing w:after="0" w:line="240" w:lineRule="auto"/>
            </w:pPr>
            <w:r>
              <w:rPr>
                <w:rFonts w:ascii="Consolas" w:hAnsi="Consolas" w:cs="Consolas"/>
                <w:sz w:val="17"/>
              </w:rPr>
              <w:t xml:space="preserve">/api/local</w:t>
            </w:r>
          </w:p>
        </w:tc>
        <w:tc>
          <w:tcPr>
            <w:tcW w:w="2500" w:type="pct"/>
          </w:tcPr>
          <w:p>
            <w:pPr>
              <w:spacing w:after="0" w:line="240" w:lineRule="auto"/>
            </w:pPr>
            <w:r>
              <w:t xml:space="preserve">Forget the uploaded folder</w:t>
            </w:r>
          </w:p>
        </w:tc>
      </w:tr>
      <w:tr>
        <w:tc>
          <w:tcPr>
            <w:tcW w:w="500" w:type="pct"/>
          </w:tcPr>
          <w:p>
            <w:pPr>
              <w:spacing w:after="0" w:line="240" w:lineRule="auto"/>
            </w:pPr>
            <w:r>
              <w:t xml:space="preserve">POST</w:t>
            </w:r>
          </w:p>
        </w:tc>
        <w:tc>
          <w:tcPr>
            <w:tcW w:w="2000" w:type="pct"/>
          </w:tcPr>
          <w:p>
            <w:pPr>
              <w:spacing w:after="0" w:line="240" w:lineRule="auto"/>
            </w:pPr>
            <w:r>
              <w:rPr>
                <w:rFonts w:ascii="Consolas" w:hAnsi="Consolas" w:cs="Consolas"/>
                <w:sz w:val="17"/>
              </w:rPr>
              <w:t xml:space="preserve">/api/local/reconciliation</w:t>
            </w:r>
          </w:p>
        </w:tc>
        <w:tc>
          <w:tcPr>
            <w:tcW w:w="2500" w:type="pct"/>
          </w:tcPr>
          <w:p>
            <w:pPr>
              <w:spacing w:after="0" w:line="240" w:lineRule="auto"/>
            </w:pPr>
            <w:r>
              <w:t xml:space="preserve">The reconciliation suite for every hop (L4)</w:t>
            </w:r>
          </w:p>
        </w:tc>
      </w:tr>
      <w:tr>
        <w:tc>
          <w:tcPr>
            <w:tcW w:w="500" w:type="pct"/>
          </w:tcPr>
          <w:p>
            <w:pPr>
              <w:spacing w:after="0" w:line="240" w:lineRule="auto"/>
            </w:pPr>
            <w:r>
              <w:t xml:space="preserve">POST</w:t>
            </w:r>
          </w:p>
        </w:tc>
        <w:tc>
          <w:tcPr>
            <w:tcW w:w="2000" w:type="pct"/>
          </w:tcPr>
          <w:p>
            <w:pPr>
              <w:spacing w:after="0" w:line="240" w:lineRule="auto"/>
            </w:pPr>
            <w:r>
              <w:rPr>
                <w:rFonts w:ascii="Consolas" w:hAnsi="Consolas" w:cs="Consolas"/>
                <w:sz w:val="17"/>
              </w:rPr>
              <w:t xml:space="preserve">/api/local/governance</w:t>
            </w:r>
          </w:p>
        </w:tc>
        <w:tc>
          <w:tcPr>
            <w:tcW w:w="2500" w:type="pct"/>
          </w:tcPr>
          <w:p>
            <w:pPr>
              <w:spacing w:after="0" w:line="240" w:lineRule="auto"/>
            </w:pPr>
            <w:r>
              <w:t xml:space="preserve">Review one hop's statements (L3)</w:t>
            </w:r>
          </w:p>
        </w:tc>
      </w:tr>
    </w:tbl>
    <w:p>
      <w:pPr>
        <w:spacing w:after="0" w:line="240" w:lineRule="auto"/>
      </w:pPr>
    </w:p>
    <w:p>
      <w:pPr>
        <w:pStyle w:val="Heading2"/>
      </w:pPr>
      <w:r>
        <w:t xml:space="preserve">Status code conventions</w:t>
      </w:r>
    </w:p>
    <w:p>
      <w:r>
        <w:t xml:space="preserve">Consistency here matters more than the individual codes — keep new routes on the same table.</w:t>
      </w:r>
    </w:p>
    <w:tbl>
      <w:tblPr>
        <w:tblStyle w:val="Style1"/>
        <w:tblW w:w="5000" w:type="pct"/>
        <w:tblLook w:val="04A0" w:firstRow="1" w:lastRow="0" w:firstColumn="1" w:lastColumn="0" w:noHBand="0" w:noVBand="1"/>
      </w:tblPr>
      <w:tblGrid>
        <w:gridCol w:w="1190"/>
        <w:gridCol w:w="8728"/>
      </w:tblGrid>
      <w:tr>
        <w:trPr>
          <w:cnfStyle w:val="100000000000" w:firstRow="1" w:lastRow="0" w:firstColumn="0" w:lastColumn="0" w:oddVBand="0" w:evenVBand="0" w:oddHBand="0" w:evenHBand="0" w:firstRowFirstColumn="0" w:firstRowLastColumn="0" w:lastRowFirstColumn="0" w:lastRowLastColumn="0"/>
          <w:tblHeader/>
          <w:trHeight w:val="397"/>
        </w:trPr>
        <w:tc>
          <w:tcPr>
            <w:tcW w:w="600" w:type="pct"/>
          </w:tcPr>
          <w:p>
            <w:pPr>
              <w:spacing w:after="0" w:line="240" w:lineRule="auto"/>
            </w:pPr>
            <w:r>
              <w:rPr>
                <w:b/>
                <w:color w:val="FFFFFF" w:themeColor="background1"/>
              </w:rPr>
              <w:t xml:space="preserve">Code</w:t>
            </w:r>
          </w:p>
        </w:tc>
        <w:tc>
          <w:tcPr>
            <w:tcW w:w="4400" w:type="pct"/>
          </w:tcPr>
          <w:p>
            <w:pPr>
              <w:spacing w:after="0" w:line="240" w:lineRule="auto"/>
            </w:pPr>
            <w:r>
              <w:rPr>
                <w:b/>
                <w:color w:val="FFFFFF" w:themeColor="background1"/>
              </w:rPr>
              <w:t xml:space="preserve">Means</w:t>
            </w:r>
          </w:p>
        </w:tc>
      </w:tr>
      <w:tr>
        <w:tc>
          <w:tcPr>
            <w:tcW w:w="600" w:type="pct"/>
          </w:tcPr>
          <w:p>
            <w:pPr>
              <w:spacing w:after="0" w:line="240" w:lineRule="auto"/>
            </w:pPr>
            <w:r>
              <w:t xml:space="preserve">400 / 404</w:t>
            </w:r>
          </w:p>
        </w:tc>
        <w:tc>
          <w:tcPr>
            <w:tcW w:w="4400" w:type="pct"/>
          </w:tcPr>
          <w:p>
            <w:pPr>
              <w:spacing w:after="0" w:line="240" w:lineRule="auto"/>
            </w:pPr>
            <w:r>
              <w:t xml:space="preserve">A client mistake — a malformed body, or something that does not exist</w:t>
            </w:r>
          </w:p>
        </w:tc>
      </w:tr>
      <w:tr>
        <w:tc>
          <w:tcPr>
            <w:tcW w:w="600" w:type="pct"/>
          </w:tcPr>
          <w:p>
            <w:pPr>
              <w:spacing w:after="0" w:line="240" w:lineRule="auto"/>
            </w:pPr>
            <w:r>
              <w:t xml:space="preserve">401</w:t>
            </w:r>
          </w:p>
        </w:tc>
        <w:tc>
          <w:tcPr>
            <w:tcW w:w="4400" w:type="pct"/>
          </w:tcPr>
          <w:p>
            <w:pPr>
              <w:spacing w:after="0" w:line="240" w:lineRule="auto"/>
            </w:pPr>
            <w:r>
              <w:t xml:space="preserve">The Databricks personal access token was rejected</w:t>
            </w:r>
          </w:p>
        </w:tc>
      </w:tr>
      <w:tr>
        <w:tc>
          <w:tcPr>
            <w:tcW w:w="600" w:type="pct"/>
          </w:tcPr>
          <w:p>
            <w:pPr>
              <w:spacing w:after="0" w:line="240" w:lineRule="auto"/>
            </w:pPr>
            <w:r>
              <w:t xml:space="preserve">409</w:t>
            </w:r>
          </w:p>
        </w:tc>
        <w:tc>
          <w:tcPr>
            <w:tcW w:w="4400" w:type="pct"/>
          </w:tcPr>
          <w:p>
            <w:pPr>
              <w:spacing w:after="0" w:line="240" w:lineRule="auto"/>
            </w:pPr>
            <w:r>
              <w:t xml:space="preserve">Not connected — or, on /api/local, no folder uploaded yet</w:t>
            </w:r>
          </w:p>
        </w:tc>
      </w:tr>
      <w:tr>
        <w:tc>
          <w:tcPr>
            <w:tcW w:w="600" w:type="pct"/>
          </w:tcPr>
          <w:p>
            <w:pPr>
              <w:spacing w:after="0" w:line="240" w:lineRule="auto"/>
            </w:pPr>
            <w:r>
              <w:t xml:space="preserve">502</w:t>
            </w:r>
          </w:p>
        </w:tc>
        <w:tc>
          <w:tcPr>
            <w:tcW w:w="4400" w:type="pct"/>
          </w:tcPr>
          <w:p>
            <w:pPr>
              <w:spacing w:after="0" w:line="240" w:lineRule="auto"/>
            </w:pPr>
            <w:r>
              <w:t xml:space="preserve">A Databricks call failed</w:t>
            </w:r>
          </w:p>
        </w:tc>
      </w:tr>
      <w:tr>
        <w:tc>
          <w:tcPr>
            <w:tcW w:w="600" w:type="pct"/>
          </w:tcPr>
          <w:p>
            <w:pPr>
              <w:spacing w:after="0" w:line="240" w:lineRule="auto"/>
            </w:pPr>
            <w:r>
              <w:t xml:space="preserve">503</w:t>
            </w:r>
          </w:p>
        </w:tc>
        <w:tc>
          <w:tcPr>
            <w:tcW w:w="4400" w:type="pct"/>
          </w:tcPr>
          <w:p>
            <w:pPr>
              <w:spacing w:after="0" w:line="240" w:lineRule="auto"/>
            </w:pPr>
            <w:r>
              <w:t xml:space="preserve">Azure OpenAI is not configured</w:t>
            </w:r>
          </w:p>
        </w:tc>
      </w:tr>
    </w:tbl>
    <w:p>
      <w:pPr>
        <w:spacing w:after="0" w:line="240" w:lineRule="auto"/>
      </w:pPr>
    </w:p>
    <w:p>
      <w:r>
        <w:br w:type="page"/>
      </w:r>
    </w:p>
    <w:p>
      <w:pPr>
        <w:pStyle w:val="Heading1"/>
      </w:pPr>
      <w:r>
        <w:t xml:space="preserve">Working on the codebase</w:t>
      </w:r>
    </w:p>
    <w:p>
      <w:pPr>
        <w:pStyle w:val="Heading2"/>
      </w:pPr>
      <w:r>
        <w:t xml:space="preserve">Layout</w:t>
      </w:r>
    </w:p>
    <w:tbl>
      <w:tblPr>
        <w:tblStyle w:val="Style1"/>
        <w:tblW w:w="5000" w:type="pct"/>
        <w:tblLook w:val="04A0" w:firstRow="1" w:lastRow="0" w:firstColumn="1" w:lastColumn="0" w:noHBand="0" w:noVBand="1"/>
      </w:tblPr>
      <w:tblGrid>
        <w:gridCol w:w="2975"/>
        <w:gridCol w:w="6943"/>
      </w:tblGrid>
      <w:tr>
        <w:trPr>
          <w:cnfStyle w:val="100000000000" w:firstRow="1" w:lastRow="0" w:firstColumn="0" w:lastColumn="0" w:oddVBand="0" w:evenVBand="0" w:oddHBand="0" w:evenHBand="0" w:firstRowFirstColumn="0" w:firstRowLastColumn="0" w:lastRowFirstColumn="0" w:lastRowLastColumn="0"/>
          <w:tblHeader/>
          <w:trHeight w:val="397"/>
        </w:trPr>
        <w:tc>
          <w:tcPr>
            <w:tcW w:w="1500" w:type="pct"/>
          </w:tcPr>
          <w:p>
            <w:pPr>
              <w:spacing w:after="0" w:line="240" w:lineRule="auto"/>
            </w:pPr>
            <w:r>
              <w:rPr>
                <w:b/>
                <w:color w:val="FFFFFF" w:themeColor="background1"/>
              </w:rPr>
              <w:t xml:space="preserve">Path</w:t>
            </w:r>
          </w:p>
        </w:tc>
        <w:tc>
          <w:tcPr>
            <w:tcW w:w="3500" w:type="pct"/>
          </w:tcPr>
          <w:p>
            <w:pPr>
              <w:spacing w:after="0" w:line="240" w:lineRule="auto"/>
            </w:pPr>
            <w:r>
              <w:rPr>
                <w:b/>
                <w:color w:val="FFFFFF" w:themeColor="background1"/>
              </w:rPr>
              <w:t xml:space="preserve">Contents</w:t>
            </w:r>
          </w:p>
        </w:tc>
      </w:tr>
      <w:tr>
        <w:tc>
          <w:tcPr>
            <w:tcW w:w="1500" w:type="pct"/>
          </w:tcPr>
          <w:p>
            <w:pPr>
              <w:spacing w:after="0" w:line="240" w:lineRule="auto"/>
            </w:pPr>
            <w:r>
              <w:rPr>
                <w:rFonts w:ascii="Consolas" w:hAnsi="Consolas" w:cs="Consolas"/>
                <w:sz w:val="17"/>
              </w:rPr>
              <w:t xml:space="preserve">server/src/routes/</w:t>
            </w:r>
          </w:p>
        </w:tc>
        <w:tc>
          <w:tcPr>
            <w:tcW w:w="3500" w:type="pct"/>
          </w:tcPr>
          <w:p>
            <w:pPr>
              <w:spacing w:after="0" w:line="240" w:lineRule="auto"/>
            </w:pPr>
            <w:r>
              <w:t xml:space="preserve">One router per flow; thin, with the work in services</w:t>
            </w:r>
          </w:p>
        </w:tc>
      </w:tr>
      <w:tr>
        <w:tc>
          <w:tcPr>
            <w:tcW w:w="1500" w:type="pct"/>
          </w:tcPr>
          <w:p>
            <w:pPr>
              <w:spacing w:after="0" w:line="240" w:lineRule="auto"/>
            </w:pPr>
            <w:r>
              <w:rPr>
                <w:rFonts w:ascii="Consolas" w:hAnsi="Consolas" w:cs="Consolas"/>
                <w:sz w:val="17"/>
              </w:rPr>
              <w:t xml:space="preserve">server/src/services/</w:t>
            </w:r>
          </w:p>
        </w:tc>
        <w:tc>
          <w:tcPr>
            <w:tcW w:w="3500" w:type="pct"/>
          </w:tcPr>
          <w:p>
            <w:pPr>
              <w:spacing w:after="0" w:line="240" w:lineRule="auto"/>
            </w:pPr>
            <w:r>
              <w:t xml:space="preserve">All the analysis — parsing, lineage, checks, LLM client, writers</w:t>
            </w:r>
          </w:p>
        </w:tc>
      </w:tr>
      <w:tr>
        <w:tc>
          <w:tcPr>
            <w:tcW w:w="1500" w:type="pct"/>
          </w:tcPr>
          <w:p>
            <w:pPr>
              <w:spacing w:after="0" w:line="240" w:lineRule="auto"/>
            </w:pPr>
            <w:r>
              <w:rPr>
                <w:rFonts w:ascii="Consolas" w:hAnsi="Consolas" w:cs="Consolas"/>
                <w:sz w:val="17"/>
              </w:rPr>
              <w:t xml:space="preserve">server/src/cli/</w:t>
            </w:r>
          </w:p>
        </w:tc>
        <w:tc>
          <w:tcPr>
            <w:tcW w:w="3500" w:type="pct"/>
          </w:tcPr>
          <w:p>
            <w:pPr>
              <w:spacing w:after="0" w:line="240" w:lineRule="auto"/>
            </w:pPr>
            <w:r>
              <w:t xml:space="preserve">The reconcile binary and its disk-side helpers</w:t>
            </w:r>
          </w:p>
        </w:tc>
      </w:tr>
      <w:tr>
        <w:tc>
          <w:tcPr>
            <w:tcW w:w="1500" w:type="pct"/>
          </w:tcPr>
          <w:p>
            <w:pPr>
              <w:spacing w:after="0" w:line="240" w:lineRule="auto"/>
            </w:pPr>
            <w:r>
              <w:rPr>
                <w:rFonts w:ascii="Consolas" w:hAnsi="Consolas" w:cs="Consolas"/>
                <w:sz w:val="17"/>
              </w:rPr>
              <w:t xml:space="preserve">server/src/store/</w:t>
            </w:r>
          </w:p>
        </w:tc>
        <w:tc>
          <w:tcPr>
            <w:tcW w:w="3500" w:type="pct"/>
          </w:tcPr>
          <w:p>
            <w:pPr>
              <w:spacing w:after="0" w:line="240" w:lineRule="auto"/>
            </w:pPr>
            <w:r>
              <w:t xml:space="preserve">memoryStore.ts — the entire persistence layer</w:t>
            </w:r>
          </w:p>
        </w:tc>
      </w:tr>
      <w:tr>
        <w:tc>
          <w:tcPr>
            <w:tcW w:w="1500" w:type="pct"/>
          </w:tcPr>
          <w:p>
            <w:pPr>
              <w:spacing w:after="0" w:line="240" w:lineRule="auto"/>
            </w:pPr>
            <w:r>
              <w:rPr>
                <w:rFonts w:ascii="Consolas" w:hAnsi="Consolas" w:cs="Consolas"/>
                <w:sz w:val="17"/>
              </w:rPr>
              <w:t xml:space="preserve">server/src/types/index.ts</w:t>
            </w:r>
          </w:p>
        </w:tc>
        <w:tc>
          <w:tcPr>
            <w:tcW w:w="3500" w:type="pct"/>
          </w:tcPr>
          <w:p>
            <w:pPr>
              <w:spacing w:after="0" w:line="240" w:lineRule="auto"/>
            </w:pPr>
            <w:r>
              <w:t xml:space="preserve">The API contract</w:t>
            </w:r>
          </w:p>
        </w:tc>
      </w:tr>
      <w:tr>
        <w:tc>
          <w:tcPr>
            <w:tcW w:w="1500" w:type="pct"/>
          </w:tcPr>
          <w:p>
            <w:pPr>
              <w:spacing w:after="0" w:line="240" w:lineRule="auto"/>
            </w:pPr>
            <w:r>
              <w:rPr>
                <w:rFonts w:ascii="Consolas" w:hAnsi="Consolas" w:cs="Consolas"/>
                <w:sz w:val="17"/>
              </w:rPr>
              <w:t xml:space="preserve">server/templates/</w:t>
            </w:r>
          </w:p>
        </w:tc>
        <w:tc>
          <w:tcPr>
            <w:tcW w:w="3500" w:type="pct"/>
          </w:tcPr>
          <w:p>
            <w:pPr>
              <w:spacing w:after="0" w:line="240" w:lineRule="auto"/>
            </w:pPr>
            <w:r>
              <w:t xml:space="preserve">The branded Word template, shipped with the package</w:t>
            </w:r>
          </w:p>
        </w:tc>
      </w:tr>
      <w:tr>
        <w:tc>
          <w:tcPr>
            <w:tcW w:w="1500" w:type="pct"/>
          </w:tcPr>
          <w:p>
            <w:pPr>
              <w:spacing w:after="0" w:line="240" w:lineRule="auto"/>
            </w:pPr>
            <w:r>
              <w:rPr>
                <w:rFonts w:ascii="Consolas" w:hAnsi="Consolas" w:cs="Consolas"/>
                <w:sz w:val="17"/>
              </w:rPr>
              <w:t xml:space="preserve">server/test/</w:t>
            </w:r>
          </w:p>
        </w:tc>
        <w:tc>
          <w:tcPr>
            <w:tcW w:w="3500" w:type="pct"/>
          </w:tcPr>
          <w:p>
            <w:pPr>
              <w:spacing w:after="0" w:line="240" w:lineRule="auto"/>
            </w:pPr>
            <w:r>
              <w:t xml:space="preserve">Vitest suites (gitignored in this repository)</w:t>
            </w:r>
          </w:p>
        </w:tc>
      </w:tr>
      <w:tr>
        <w:tc>
          <w:tcPr>
            <w:tcW w:w="1500" w:type="pct"/>
          </w:tcPr>
          <w:p>
            <w:pPr>
              <w:spacing w:after="0" w:line="240" w:lineRule="auto"/>
            </w:pPr>
            <w:r>
              <w:rPr>
                <w:rFonts w:ascii="Consolas" w:hAnsi="Consolas" w:cs="Consolas"/>
                <w:sz w:val="17"/>
              </w:rPr>
              <w:t xml:space="preserve">client/src/pipeline/</w:t>
            </w:r>
          </w:p>
        </w:tc>
        <w:tc>
          <w:tcPr>
            <w:tcW w:w="3500" w:type="pct"/>
          </w:tcPr>
          <w:p>
            <w:pPr>
              <w:spacing w:after="0" w:line="240" w:lineRule="auto"/>
            </w:pPr>
            <w:r>
              <w:t xml:space="preserve">The Databricks dashboard, S1–S5</w:t>
            </w:r>
          </w:p>
        </w:tc>
      </w:tr>
      <w:tr>
        <w:tc>
          <w:tcPr>
            <w:tcW w:w="1500" w:type="pct"/>
          </w:tcPr>
          <w:p>
            <w:pPr>
              <w:spacing w:after="0" w:line="240" w:lineRule="auto"/>
            </w:pPr>
            <w:r>
              <w:rPr>
                <w:rFonts w:ascii="Consolas" w:hAnsi="Consolas" w:cs="Consolas"/>
                <w:sz w:val="17"/>
              </w:rPr>
              <w:t xml:space="preserve">client/src/local/</w:t>
            </w:r>
          </w:p>
        </w:tc>
        <w:tc>
          <w:tcPr>
            <w:tcW w:w="3500" w:type="pct"/>
          </w:tcPr>
          <w:p>
            <w:pPr>
              <w:spacing w:after="0" w:line="240" w:lineRule="auto"/>
            </w:pPr>
            <w:r>
              <w:t xml:space="preserve">The local-folder dashboard, L1–L4</w:t>
            </w:r>
          </w:p>
        </w:tc>
      </w:tr>
      <w:tr>
        <w:tc>
          <w:tcPr>
            <w:tcW w:w="1500" w:type="pct"/>
          </w:tcPr>
          <w:p>
            <w:pPr>
              <w:spacing w:after="0" w:line="240" w:lineRule="auto"/>
            </w:pPr>
            <w:r>
              <w:rPr>
                <w:rFonts w:ascii="Consolas" w:hAnsi="Consolas" w:cs="Consolas"/>
                <w:sz w:val="17"/>
              </w:rPr>
              <w:t xml:space="preserve">client/src/api/client.ts</w:t>
            </w:r>
          </w:p>
        </w:tc>
        <w:tc>
          <w:tcPr>
            <w:tcW w:w="3500" w:type="pct"/>
          </w:tcPr>
          <w:p>
            <w:pPr>
              <w:spacing w:after="0" w:line="240" w:lineRule="auto"/>
            </w:pPr>
            <w:r>
              <w:t xml:space="preserve">The only place the client calls the backend</w:t>
            </w:r>
          </w:p>
        </w:tc>
      </w:tr>
      <w:tr>
        <w:tc>
          <w:tcPr>
            <w:tcW w:w="1500" w:type="pct"/>
          </w:tcPr>
          <w:p>
            <w:pPr>
              <w:spacing w:after="0" w:line="240" w:lineRule="auto"/>
            </w:pPr>
            <w:r>
              <w:rPr>
                <w:rFonts w:ascii="Consolas" w:hAnsi="Consolas" w:cs="Consolas"/>
                <w:sz w:val="17"/>
              </w:rPr>
              <w:t xml:space="preserve">client/src/types.ts</w:t>
            </w:r>
          </w:p>
        </w:tc>
        <w:tc>
          <w:tcPr>
            <w:tcW w:w="3500" w:type="pct"/>
          </w:tcPr>
          <w:p>
            <w:pPr>
              <w:spacing w:after="0" w:line="240" w:lineRule="auto"/>
            </w:pPr>
            <w:r>
              <w:t xml:space="preserve">The client-side mirror of the server contract</w:t>
            </w:r>
          </w:p>
        </w:tc>
      </w:tr>
    </w:tbl>
    <w:p>
      <w:pPr>
        <w:spacing w:after="0" w:line="240" w:lineRule="auto"/>
      </w:pPr>
    </w:p>
    <w:p>
      <w:pPr>
        <w:pStyle w:val="Heading2"/>
      </w:pPr>
      <w:r>
        <w:t xml:space="preserve">Commands</w:t>
      </w:r>
    </w:p>
    <w:tbl>
      <w:tblPr>
        <w:tblStyle w:val="Style1"/>
        <w:tblW w:w="5000" w:type="pct"/>
        <w:tblLook w:val="04A0" w:firstRow="1" w:lastRow="0" w:firstColumn="1" w:lastColumn="0" w:noHBand="0" w:noVBand="1"/>
      </w:tblPr>
      <w:tblGrid>
        <w:gridCol w:w="4166"/>
        <w:gridCol w:w="5752"/>
      </w:tblGrid>
      <w:tr>
        <w:trPr>
          <w:cnfStyle w:val="100000000000" w:firstRow="1" w:lastRow="0" w:firstColumn="0" w:lastColumn="0" w:oddVBand="0" w:evenVBand="0" w:oddHBand="0" w:evenHBand="0" w:firstRowFirstColumn="0" w:firstRowLastColumn="0" w:lastRowFirstColumn="0" w:lastRowLastColumn="0"/>
          <w:tblHeader/>
          <w:trHeight w:val="397"/>
        </w:trPr>
        <w:tc>
          <w:tcPr>
            <w:tcW w:w="2100" w:type="pct"/>
          </w:tcPr>
          <w:p>
            <w:pPr>
              <w:spacing w:after="0" w:line="240" w:lineRule="auto"/>
            </w:pPr>
            <w:r>
              <w:rPr>
                <w:b/>
                <w:color w:val="FFFFFF" w:themeColor="background1"/>
              </w:rPr>
              <w:t xml:space="preserve">Command</w:t>
            </w:r>
          </w:p>
        </w:tc>
        <w:tc>
          <w:tcPr>
            <w:tcW w:w="2900" w:type="pct"/>
          </w:tcPr>
          <w:p>
            <w:pPr>
              <w:spacing w:after="0" w:line="240" w:lineRule="auto"/>
            </w:pPr>
            <w:r>
              <w:rPr>
                <w:b/>
                <w:color w:val="FFFFFF" w:themeColor="background1"/>
              </w:rPr>
              <w:t xml:space="preserve">Does</w:t>
            </w:r>
          </w:p>
        </w:tc>
      </w:tr>
      <w:tr>
        <w:tc>
          <w:tcPr>
            <w:tcW w:w="2100" w:type="pct"/>
          </w:tcPr>
          <w:p>
            <w:pPr>
              <w:spacing w:after="0" w:line="240" w:lineRule="auto"/>
            </w:pPr>
            <w:r>
              <w:rPr>
                <w:rFonts w:ascii="Consolas" w:hAnsi="Consolas" w:cs="Consolas"/>
                <w:sz w:val="17"/>
              </w:rPr>
              <w:t xml:space="preserve">npm run install:all</w:t>
            </w:r>
          </w:p>
        </w:tc>
        <w:tc>
          <w:tcPr>
            <w:tcW w:w="2900" w:type="pct"/>
          </w:tcPr>
          <w:p>
            <w:pPr>
              <w:spacing w:after="0" w:line="240" w:lineRule="auto"/>
            </w:pPr>
            <w:r>
              <w:t xml:space="preserve">Install both packages (root)</w:t>
            </w:r>
          </w:p>
        </w:tc>
      </w:tr>
      <w:tr>
        <w:tc>
          <w:tcPr>
            <w:tcW w:w="2100" w:type="pct"/>
          </w:tcPr>
          <w:p>
            <w:pPr>
              <w:spacing w:after="0" w:line="240" w:lineRule="auto"/>
            </w:pPr>
            <w:r>
              <w:rPr>
                <w:rFonts w:ascii="Consolas" w:hAnsi="Consolas" w:cs="Consolas"/>
                <w:sz w:val="17"/>
              </w:rPr>
              <w:t xml:space="preserve">npm run dev</w:t>
            </w:r>
          </w:p>
        </w:tc>
        <w:tc>
          <w:tcPr>
            <w:tcW w:w="2900" w:type="pct"/>
          </w:tcPr>
          <w:p>
            <w:pPr>
              <w:spacing w:after="0" w:line="240" w:lineRule="auto"/>
            </w:pPr>
            <w:r>
              <w:t xml:space="preserve">Server and client together (root)</w:t>
            </w:r>
          </w:p>
        </w:tc>
      </w:tr>
      <w:tr>
        <w:tc>
          <w:tcPr>
            <w:tcW w:w="2100" w:type="pct"/>
          </w:tcPr>
          <w:p>
            <w:pPr>
              <w:spacing w:after="0" w:line="240" w:lineRule="auto"/>
            </w:pPr>
            <w:r>
              <w:rPr>
                <w:rFonts w:ascii="Consolas" w:hAnsi="Consolas" w:cs="Consolas"/>
                <w:sz w:val="17"/>
              </w:rPr>
              <w:t xml:space="preserve">npm run build</w:t>
            </w:r>
          </w:p>
        </w:tc>
        <w:tc>
          <w:tcPr>
            <w:tcW w:w="2900" w:type="pct"/>
          </w:tcPr>
          <w:p>
            <w:pPr>
              <w:spacing w:after="0" w:line="240" w:lineRule="auto"/>
            </w:pPr>
            <w:r>
              <w:t xml:space="preserve">Build server then client (root)</w:t>
            </w:r>
          </w:p>
        </w:tc>
      </w:tr>
      <w:tr>
        <w:tc>
          <w:tcPr>
            <w:tcW w:w="2100" w:type="pct"/>
          </w:tcPr>
          <w:p>
            <w:pPr>
              <w:spacing w:after="0" w:line="240" w:lineRule="auto"/>
            </w:pPr>
            <w:r>
              <w:rPr>
                <w:rFonts w:ascii="Consolas" w:hAnsi="Consolas" w:cs="Consolas"/>
                <w:sz w:val="17"/>
              </w:rPr>
              <w:t xml:space="preserve">npm test --prefix server</w:t>
            </w:r>
          </w:p>
        </w:tc>
        <w:tc>
          <w:tcPr>
            <w:tcW w:w="2900" w:type="pct"/>
          </w:tcPr>
          <w:p>
            <w:pPr>
              <w:spacing w:after="0" w:line="240" w:lineRule="auto"/>
            </w:pPr>
            <w:r>
              <w:t xml:space="preserve">Run the vitest suites</w:t>
            </w:r>
          </w:p>
        </w:tc>
      </w:tr>
      <w:tr>
        <w:tc>
          <w:tcPr>
            <w:tcW w:w="2100" w:type="pct"/>
          </w:tcPr>
          <w:p>
            <w:pPr>
              <w:spacing w:after="0" w:line="240" w:lineRule="auto"/>
            </w:pPr>
            <w:r>
              <w:rPr>
                <w:rFonts w:ascii="Consolas" w:hAnsi="Consolas" w:cs="Consolas"/>
                <w:sz w:val="17"/>
              </w:rPr>
              <w:t xml:space="preserve">npx vitest run test/sqlAnalyzer.test.ts</w:t>
            </w:r>
          </w:p>
        </w:tc>
        <w:tc>
          <w:tcPr>
            <w:tcW w:w="2900" w:type="pct"/>
          </w:tcPr>
          <w:p>
            <w:pPr>
              <w:spacing w:after="0" w:line="240" w:lineRule="auto"/>
            </w:pPr>
            <w:r>
              <w:t xml:space="preserve">One test file (from server/)</w:t>
            </w:r>
          </w:p>
        </w:tc>
      </w:tr>
      <w:tr>
        <w:tc>
          <w:tcPr>
            <w:tcW w:w="2100" w:type="pct"/>
          </w:tcPr>
          <w:p>
            <w:pPr>
              <w:spacing w:after="0" w:line="240" w:lineRule="auto"/>
            </w:pPr>
            <w:r>
              <w:rPr>
                <w:rFonts w:ascii="Consolas" w:hAnsi="Consolas" w:cs="Consolas"/>
                <w:sz w:val="17"/>
              </w:rPr>
              <w:t xml:space="preserve">npm run typecheck --prefix server</w:t>
            </w:r>
          </w:p>
        </w:tc>
        <w:tc>
          <w:tcPr>
            <w:tcW w:w="2900" w:type="pct"/>
          </w:tcPr>
          <w:p>
            <w:pPr>
              <w:spacing w:after="0" w:line="240" w:lineRule="auto"/>
            </w:pPr>
            <w:r>
              <w:t xml:space="preserve">tsc --noEmit</w:t>
            </w:r>
          </w:p>
        </w:tc>
      </w:tr>
      <w:tr>
        <w:tc>
          <w:tcPr>
            <w:tcW w:w="2100" w:type="pct"/>
          </w:tcPr>
          <w:p>
            <w:pPr>
              <w:spacing w:after="0" w:line="240" w:lineRule="auto"/>
            </w:pPr>
            <w:r>
              <w:rPr>
                <w:rFonts w:ascii="Consolas" w:hAnsi="Consolas" w:cs="Consolas"/>
                <w:sz w:val="17"/>
              </w:rPr>
              <w:t xml:space="preserve">npm run lint --prefix client</w:t>
            </w:r>
          </w:p>
        </w:tc>
        <w:tc>
          <w:tcPr>
            <w:tcW w:w="2900" w:type="pct"/>
          </w:tcPr>
          <w:p>
            <w:pPr>
              <w:spacing w:after="0" w:line="240" w:lineRule="auto"/>
            </w:pPr>
            <w:r>
              <w:t xml:space="preserve">oxlint</w:t>
            </w:r>
          </w:p>
        </w:tc>
      </w:tr>
      <w:tr>
        <w:tc>
          <w:tcPr>
            <w:tcW w:w="2100" w:type="pct"/>
          </w:tcPr>
          <w:p>
            <w:pPr>
              <w:spacing w:after="0" w:line="240" w:lineRule="auto"/>
            </w:pPr>
            <w:r>
              <w:rPr>
                <w:rFonts w:ascii="Consolas" w:hAnsi="Consolas" w:cs="Consolas"/>
                <w:sz w:val="17"/>
              </w:rPr>
              <w:t xml:space="preserve">npm run cli -- &lt;command&gt;</w:t>
            </w:r>
          </w:p>
        </w:tc>
        <w:tc>
          <w:tcPr>
            <w:tcW w:w="2900" w:type="pct"/>
          </w:tcPr>
          <w:p>
            <w:pPr>
              <w:spacing w:after="0" w:line="240" w:lineRule="auto"/>
            </w:pPr>
            <w:r>
              <w:t xml:space="preserve">The CLI from source, via tsx (from server/)</w:t>
            </w:r>
          </w:p>
        </w:tc>
      </w:tr>
      <w:tr>
        <w:tc>
          <w:tcPr>
            <w:tcW w:w="2100" w:type="pct"/>
          </w:tcPr>
          <w:p>
            <w:pPr>
              <w:spacing w:after="0" w:line="240" w:lineRule="auto"/>
            </w:pPr>
            <w:r>
              <w:rPr>
                <w:rFonts w:ascii="Consolas" w:hAnsi="Consolas" w:cs="Consolas"/>
                <w:sz w:val="17"/>
              </w:rPr>
              <w:t xml:space="preserve">npx tsx scripts/buildProjectDoc.ts</w:t>
            </w:r>
          </w:p>
        </w:tc>
        <w:tc>
          <w:tcPr>
            <w:tcW w:w="2900" w:type="pct"/>
          </w:tcPr>
          <w:p>
            <w:pPr>
              <w:spacing w:after="0" w:line="240" w:lineRule="auto"/>
            </w:pPr>
            <w:r>
              <w:t xml:space="preserve">Regenerate this document (from server/)</w:t>
            </w:r>
          </w:p>
        </w:tc>
      </w:tr>
    </w:tbl>
    <w:p>
      <w:pPr>
        <w:spacing w:after="0" w:line="240" w:lineRule="auto"/>
      </w:pPr>
    </w:p>
    <w:p>
      <w:pPr>
        <w:pStyle w:val="Heading2"/>
      </w:pPr>
      <w:r>
        <w:t xml:space="preserve">Invariants worth knowing before changing anything</w:t>
      </w:r>
    </w:p>
    <w:p>
      <w:pPr>
        <w:pStyle w:val="Bullet"/>
      </w:pPr>
      <w:r>
        <w:t xml:space="preserve">server/src/types/index.ts and client/src/types.ts mirror each other by hand. There is no shared or generated types package — change an API shape and you change both.</w:t>
      </w:r>
    </w:p>
    <w:p>
      <w:pPr>
        <w:pStyle w:val="Bullet"/>
      </w:pPr>
      <w:r>
        <w:t xml:space="preserve">splitSqlTablesByOp in tableLineage.ts is the single place a statement's read/write tables are decided, for notebook cells and uploaded files alike. Extend it rather than post-processing at a call site.</w:t>
      </w:r>
    </w:p>
    <w:p>
      <w:pPr>
        <w:pStyle w:val="Bullet"/>
      </w:pPr>
      <w:r>
        <w:t xml:space="preserve">sqlColumns.ts is the only place a table's columns are worked out. Its scanner is deliberately not AST-based, so dialect quirks belong in it rather than in SQL_DIALECTS.</w:t>
      </w:r>
    </w:p>
    <w:p>
      <w:pPr>
        <w:pStyle w:val="Bullet"/>
      </w:pPr>
      <w:r>
        <w:t xml:space="preserve">columnRole is the single place a column's kind of check is decided. Add a word to its tables rather than special-casing a check — a name it misreads as a measure produces a SUM over a label everywhere at once.</w:t>
      </w:r>
    </w:p>
    <w:p>
      <w:pPr>
        <w:pStyle w:val="Bullet"/>
      </w:pPr>
      <w:r>
        <w:t xml:space="preserve">A new check belongs in both writers: reconciliationScripts.ts for the per-table script and reconciliationBundle.ts for the single query. Otherwise it exists in the scripts and silently not in the file people actually run.</w:t>
      </w:r>
    </w:p>
    <w:p>
      <w:pPr>
        <w:pStyle w:val="Bullet"/>
      </w:pPr>
      <w:r>
        <w:t xml:space="preserve">A new kind of document content is a new DocBlock in docModel.ts plus a case in both renderers. TypeScript's exhaustiveness check on the union is what enforces the second one.</w:t>
      </w:r>
    </w:p>
    <w:p>
      <w:pPr>
        <w:pStyle w:val="Bullet"/>
      </w:pPr>
      <w:r>
        <w:t xml:space="preserve">Never hard-code fonts, sizes or colours in docxWriter.ts. If a block needs a look the template does not define, add the style to the template. Everything written goes through escapeXml, and anything read off disk also through sanitize — one stray control byte in a SQL comment makes Word refuse to open the file.</w:t>
      </w:r>
    </w:p>
    <w:p>
      <w:pPr>
        <w:pStyle w:val="Bullet"/>
      </w:pPr>
      <w:r>
        <w:t xml:space="preserve">Route handlers that hit Databricks return 502 on failure. 400 and 404 are reserved for client mistakes, 409 for not-connected, 401 for a bad token, 503 for unconfigured Azure OpenAI.</w:t>
      </w:r>
    </w:p>
    <w:p>
      <w:pPr>
        <w:pStyle w:val="Bullet"/>
      </w:pPr>
      <w:r>
        <w:t xml:space="preserve">Two parsers, two formats: notebookParser.ts splits notebook exports into cells, sqlFileParser.ts splits .sql files into statements with byte spans. Pick by where the code came from, not by its language.</w:t>
      </w:r>
    </w:p>
    <w:sectPr w:rsidR="00F95EE3" w:rsidSect="00795015">
      <w:headerReference w:type="even" r:id="rId18"/>
      <w:headerReference w:type="default" r:id="rId19"/>
      <w:footerReference w:type="even" r:id="rId20"/>
      <w:footerReference w:type="default" r:id="rId21"/>
      <w:headerReference w:type="first" r:id="rId22"/>
      <w:footerReference w:type="first" r:id="rId23"/>
      <w:pgSz w:w="11906" w:h="16838" w:code="9"/>
      <w:pgMar w:top="1440" w:right="994" w:bottom="1282" w:left="994" w:header="1022" w:footer="49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EF509" w14:textId="77777777" w:rsidR="003E5AA0" w:rsidRDefault="003E5AA0" w:rsidP="00785FBA">
      <w:r>
        <w:separator/>
      </w:r>
    </w:p>
  </w:endnote>
  <w:endnote w:type="continuationSeparator" w:id="0">
    <w:p w14:paraId="4A83814E" w14:textId="77777777" w:rsidR="003E5AA0" w:rsidRDefault="003E5AA0" w:rsidP="00785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BC961" w14:textId="77777777" w:rsidR="006E5E1D" w:rsidRDefault="006E5E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B7097" w14:textId="77777777" w:rsidR="00A417ED" w:rsidRPr="002038B5" w:rsidRDefault="000D5FF5" w:rsidP="00DA194F">
    <w:pPr>
      <w:pStyle w:val="Footer"/>
      <w:tabs>
        <w:tab w:val="clear" w:pos="4513"/>
        <w:tab w:val="clear" w:pos="9026"/>
        <w:tab w:val="right" w:pos="9720"/>
      </w:tabs>
      <w:spacing w:before="240"/>
      <w:rPr>
        <w:noProof/>
        <w:sz w:val="16"/>
        <w:szCs w:val="16"/>
      </w:rPr>
    </w:pPr>
    <w:r>
      <w:rPr>
        <w:noProof/>
        <w:sz w:val="16"/>
        <w:szCs w:val="16"/>
      </w:rPr>
      <w:drawing>
        <wp:anchor distT="0" distB="0" distL="114300" distR="114300" simplePos="0" relativeHeight="251716096" behindDoc="1" locked="0" layoutInCell="1" allowOverlap="1" wp14:anchorId="00A77389" wp14:editId="330804B8">
          <wp:simplePos x="0" y="0"/>
          <wp:positionH relativeFrom="column">
            <wp:posOffset>6107430</wp:posOffset>
          </wp:positionH>
          <wp:positionV relativeFrom="paragraph">
            <wp:posOffset>223520</wp:posOffset>
          </wp:positionV>
          <wp:extent cx="822325" cy="208280"/>
          <wp:effectExtent l="0" t="0" r="0" b="1270"/>
          <wp:wrapNone/>
          <wp:docPr id="18"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22325" cy="208280"/>
                  </a:xfrm>
                  <a:prstGeom prst="rect">
                    <a:avLst/>
                  </a:prstGeom>
                </pic:spPr>
              </pic:pic>
            </a:graphicData>
          </a:graphic>
        </wp:anchor>
      </w:drawing>
    </w:r>
    <w:r>
      <w:rPr>
        <w:noProof/>
        <w:sz w:val="16"/>
        <w:szCs w:val="16"/>
      </w:rPr>
      <mc:AlternateContent>
        <mc:Choice Requires="wps">
          <w:drawing>
            <wp:anchor distT="0" distB="0" distL="114300" distR="114300" simplePos="0" relativeHeight="251713024" behindDoc="0" locked="0" layoutInCell="1" allowOverlap="1" wp14:anchorId="55A9D84A" wp14:editId="6FDB853B">
              <wp:simplePos x="0" y="0"/>
              <wp:positionH relativeFrom="column">
                <wp:posOffset>6177280</wp:posOffset>
              </wp:positionH>
              <wp:positionV relativeFrom="paragraph">
                <wp:posOffset>234950</wp:posOffset>
              </wp:positionV>
              <wp:extent cx="304800" cy="182880"/>
              <wp:effectExtent l="0" t="0" r="0" b="7620"/>
              <wp:wrapNone/>
              <wp:docPr id="20" name="Text Box 20"/>
              <wp:cNvGraphicFramePr/>
              <a:graphic xmlns:a="http://schemas.openxmlformats.org/drawingml/2006/main">
                <a:graphicData uri="http://schemas.microsoft.com/office/word/2010/wordprocessingShape">
                  <wps:wsp>
                    <wps:cNvSpPr txBox="1"/>
                    <wps:spPr>
                      <a:xfrm>
                        <a:off x="0" y="0"/>
                        <a:ext cx="304800" cy="182880"/>
                      </a:xfrm>
                      <a:prstGeom prst="rect">
                        <a:avLst/>
                      </a:prstGeom>
                      <a:noFill/>
                      <a:ln w="6350">
                        <a:noFill/>
                      </a:ln>
                    </wps:spPr>
                    <wps:txbx>
                      <w:txbxContent>
                        <w:sdt>
                          <w:sdtPr>
                            <w:rPr>
                              <w:color w:val="FFFFFF" w:themeColor="background1"/>
                              <w:sz w:val="14"/>
                              <w:szCs w:val="14"/>
                            </w:rPr>
                            <w:id w:val="-1166775891"/>
                            <w:docPartObj>
                              <w:docPartGallery w:val="Page Numbers (Bottom of Page)"/>
                              <w:docPartUnique/>
                            </w:docPartObj>
                          </w:sdtPr>
                          <w:sdtEndPr>
                            <w:rPr>
                              <w:noProof/>
                            </w:rPr>
                          </w:sdtEndPr>
                          <w:sdtContent>
                            <w:p w14:paraId="5CB9152F" w14:textId="77777777" w:rsidR="00312E03" w:rsidRPr="003A4B7D" w:rsidRDefault="00312E03" w:rsidP="00312E03">
                              <w:pPr>
                                <w:pStyle w:val="Footer"/>
                                <w:jc w:val="center"/>
                                <w:rPr>
                                  <w:color w:val="FFFFFF" w:themeColor="background1"/>
                                  <w:sz w:val="14"/>
                                  <w:szCs w:val="14"/>
                                </w:rPr>
                              </w:pPr>
                              <w:r w:rsidRPr="003A4B7D">
                                <w:rPr>
                                  <w:color w:val="FFFFFF" w:themeColor="background1"/>
                                  <w:sz w:val="14"/>
                                  <w:szCs w:val="14"/>
                                </w:rPr>
                                <w:fldChar w:fldCharType="begin"/>
                              </w:r>
                              <w:r w:rsidRPr="003A4B7D">
                                <w:rPr>
                                  <w:color w:val="FFFFFF" w:themeColor="background1"/>
                                  <w:sz w:val="14"/>
                                  <w:szCs w:val="14"/>
                                </w:rPr>
                                <w:instrText xml:space="preserve"> PAGE   \* MERGEFORMAT </w:instrText>
                              </w:r>
                              <w:r w:rsidRPr="003A4B7D">
                                <w:rPr>
                                  <w:color w:val="FFFFFF" w:themeColor="background1"/>
                                  <w:sz w:val="14"/>
                                  <w:szCs w:val="14"/>
                                </w:rPr>
                                <w:fldChar w:fldCharType="separate"/>
                              </w:r>
                              <w:r w:rsidRPr="003A4B7D">
                                <w:rPr>
                                  <w:color w:val="FFFFFF" w:themeColor="background1"/>
                                  <w:sz w:val="14"/>
                                  <w:szCs w:val="14"/>
                                </w:rPr>
                                <w:t>1</w:t>
                              </w:r>
                              <w:r w:rsidRPr="003A4B7D">
                                <w:rPr>
                                  <w:noProof/>
                                  <w:color w:val="FFFFFF" w:themeColor="background1"/>
                                  <w:sz w:val="14"/>
                                  <w:szCs w:val="14"/>
                                </w:rPr>
                                <w:fldChar w:fldCharType="end"/>
                              </w:r>
                            </w:p>
                          </w:sdtContent>
                        </w:sdt>
                        <w:p w14:paraId="436E87F0" w14:textId="77777777" w:rsidR="00312E03" w:rsidRPr="003A4B7D" w:rsidRDefault="00312E03" w:rsidP="00312E03">
                          <w:pPr>
                            <w:pStyle w:val="Footer"/>
                            <w:jc w:val="center"/>
                            <w:rPr>
                              <w:color w:val="FFFFFF" w:themeColor="background1"/>
                              <w:sz w:val="10"/>
                              <w:szCs w:val="1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5A9D84A" id="_x0000_t202" coordsize="21600,21600" o:spt="202" path="m,l,21600r21600,l21600,xe">
              <v:stroke joinstyle="miter"/>
              <v:path gradientshapeok="t" o:connecttype="rect"/>
            </v:shapetype>
            <v:shape id="Text Box 20" o:spid="_x0000_s1027" type="#_x0000_t202" style="position:absolute;margin-left:486.4pt;margin-top:18.5pt;width:24pt;height:14.4pt;z-index:251713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" filled="f" stroked="f" strokeweight=".5pt">
              <v:textbox>
                <w:txbxContent>
                  <w:sdt>
                    <w:sdtPr>
                      <w:rPr>
                        <w:color w:val="FFFFFF" w:themeColor="background1"/>
                        <w:sz w:val="14"/>
                        <w:szCs w:val="14"/>
                      </w:rPr>
                      <w:id w:val="-1166775891"/>
                      <w:docPartObj>
                        <w:docPartGallery w:val="Page Numbers (Bottom of Page)"/>
                        <w:docPartUnique/>
                      </w:docPartObj>
                    </w:sdtPr>
                    <w:sdtEndPr>
                      <w:rPr>
                        <w:noProof/>
                      </w:rPr>
                    </w:sdtEndPr>
                    <w:sdtContent>
                      <w:p w14:paraId="5CB9152F" w14:textId="77777777" w:rsidR="00312E03" w:rsidRPr="003A4B7D" w:rsidRDefault="00312E03" w:rsidP="00312E03">
                        <w:pPr>
                          <w:pStyle w:val="Footer"/>
                          <w:jc w:val="center"/>
                          <w:rPr>
                            <w:color w:val="FFFFFF" w:themeColor="background1"/>
                            <w:sz w:val="14"/>
                            <w:szCs w:val="14"/>
                          </w:rPr>
                        </w:pPr>
                        <w:r w:rsidRPr="003A4B7D">
                          <w:rPr>
                            <w:color w:val="FFFFFF" w:themeColor="background1"/>
                            <w:sz w:val="14"/>
                            <w:szCs w:val="14"/>
                          </w:rPr>
                          <w:fldChar w:fldCharType="begin"/>
                        </w:r>
                        <w:r w:rsidRPr="003A4B7D">
                          <w:rPr>
                            <w:color w:val="FFFFFF" w:themeColor="background1"/>
                            <w:sz w:val="14"/>
                            <w:szCs w:val="14"/>
                          </w:rPr>
                          <w:instrText xml:space="preserve"> PAGE   \* MERGEFORMAT </w:instrText>
                        </w:r>
                        <w:r w:rsidRPr="003A4B7D">
                          <w:rPr>
                            <w:color w:val="FFFFFF" w:themeColor="background1"/>
                            <w:sz w:val="14"/>
                            <w:szCs w:val="14"/>
                          </w:rPr>
                          <w:fldChar w:fldCharType="separate"/>
                        </w:r>
                        <w:r w:rsidRPr="003A4B7D">
                          <w:rPr>
                            <w:color w:val="FFFFFF" w:themeColor="background1"/>
                            <w:sz w:val="14"/>
                            <w:szCs w:val="14"/>
                          </w:rPr>
                          <w:t>1</w:t>
                        </w:r>
                        <w:r w:rsidRPr="003A4B7D">
                          <w:rPr>
                            <w:noProof/>
                            <w:color w:val="FFFFFF" w:themeColor="background1"/>
                            <w:sz w:val="14"/>
                            <w:szCs w:val="14"/>
                          </w:rPr>
                          <w:fldChar w:fldCharType="end"/>
                        </w:r>
                      </w:p>
                    </w:sdtContent>
                  </w:sdt>
                  <w:p w14:paraId="436E87F0" w14:textId="77777777" w:rsidR="00312E03" w:rsidRPr="003A4B7D" w:rsidRDefault="00312E03" w:rsidP="00312E03">
                    <w:pPr>
                      <w:pStyle w:val="Footer"/>
                      <w:jc w:val="center"/>
                      <w:rPr>
                        <w:color w:val="FFFFFF" w:themeColor="background1"/>
                        <w:sz w:val="10"/>
                        <w:szCs w:val="10"/>
                        <w:lang w:val="en-US"/>
                      </w:rPr>
                    </w:pPr>
                  </w:p>
                </w:txbxContent>
              </v:textbox>
            </v:shape>
          </w:pict>
        </mc:Fallback>
      </mc:AlternateContent>
    </w:r>
  </w:p>
  <w:tbl>
    <w:tblPr>
      <w:tblStyle w:val="Style1"/>
      <w:tblpPr w:leftFromText="181" w:rightFromText="181" w:vertAnchor="text" w:tblpY="1"/>
      <w:tblW w:w="4700" w:type="pct"/>
      <w:tblBorders>
        <w:bottom w:val="none" w:sz="0" w:space="0" w:color="auto"/>
        <w:insideH w:val="none" w:sz="0" w:space="0" w:color="auto"/>
      </w:tblBorders>
      <w:tblLook w:val="04A0" w:firstRow="1" w:lastRow="0" w:firstColumn="1" w:lastColumn="0" w:noHBand="0" w:noVBand="1"/>
    </w:tblPr>
    <w:tblGrid>
      <w:gridCol w:w="3296"/>
      <w:gridCol w:w="3295"/>
      <w:gridCol w:w="2732"/>
    </w:tblGrid>
    <w:tr w:rsidR="00A417ED" w14:paraId="44E98A68" w14:textId="77777777" w:rsidTr="000D5FF5">
      <w:trPr>
        <w:cnfStyle w:val="100000000000" w:firstRow="1" w:lastRow="0" w:firstColumn="0" w:lastColumn="0" w:oddVBand="0" w:evenVBand="0" w:oddHBand="0" w:evenHBand="0" w:firstRowFirstColumn="0" w:firstRowLastColumn="0" w:lastRowFirstColumn="0" w:lastRowLastColumn="0"/>
      </w:trPr>
      <w:tc>
        <w:tcPr>
          <w:tcW w:w="3307" w:type="dxa"/>
          <w:tcBorders>
            <w:bottom w:val="none" w:sz="0" w:space="0" w:color="auto"/>
          </w:tcBorders>
          <w:shd w:val="clear" w:color="auto" w:fill="FFFFFF" w:themeFill="background1"/>
          <w:tcMar>
            <w:left w:w="0" w:type="dxa"/>
            <w:right w:w="0" w:type="dxa"/>
          </w:tcMar>
        </w:tcPr>
        <w:p w14:paraId="6E3B1676" w14:textId="77777777" w:rsidR="00A417ED" w:rsidRPr="00A417ED" w:rsidRDefault="00A417ED" w:rsidP="00A417ED">
          <w:pPr>
            <w:pStyle w:val="Footer"/>
            <w:rPr>
              <w:b w:val="0"/>
              <w:bCs/>
              <w:sz w:val="16"/>
              <w:szCs w:val="16"/>
            </w:rPr>
          </w:pPr>
          <w:r w:rsidRPr="00A417ED">
            <w:rPr>
              <w:b w:val="0"/>
              <w:bCs/>
              <w:sz w:val="16"/>
              <w:szCs w:val="16"/>
            </w:rPr>
            <w:t>Circulation Limited: Client</w:t>
          </w:r>
        </w:p>
      </w:tc>
      <w:tc>
        <w:tcPr>
          <w:tcW w:w="3307" w:type="dxa"/>
          <w:tcBorders>
            <w:bottom w:val="none" w:sz="0" w:space="0" w:color="auto"/>
          </w:tcBorders>
          <w:shd w:val="clear" w:color="auto" w:fill="FFFFFF" w:themeFill="background1"/>
          <w:tcMar>
            <w:left w:w="0" w:type="dxa"/>
            <w:right w:w="0" w:type="dxa"/>
          </w:tcMar>
        </w:tcPr>
        <w:p w14:paraId="6BD9A340" w14:textId="77777777" w:rsidR="00A417ED" w:rsidRPr="00A417ED" w:rsidRDefault="00A417ED" w:rsidP="00A417ED">
          <w:pPr>
            <w:pStyle w:val="Footer"/>
            <w:jc w:val="center"/>
            <w:rPr>
              <w:b w:val="0"/>
              <w:bCs/>
              <w:sz w:val="16"/>
              <w:szCs w:val="16"/>
            </w:rPr>
          </w:pPr>
          <w:r w:rsidRPr="00A417ED">
            <w:rPr>
              <w:b w:val="0"/>
              <w:bCs/>
              <w:sz w:val="16"/>
              <w:szCs w:val="16"/>
            </w:rPr>
            <w:t>Version x.x</w:t>
          </w:r>
        </w:p>
      </w:tc>
      <w:tc>
        <w:tcPr>
          <w:tcW w:w="2742" w:type="dxa"/>
          <w:tcBorders>
            <w:bottom w:val="none" w:sz="0" w:space="0" w:color="auto"/>
          </w:tcBorders>
          <w:shd w:val="clear" w:color="auto" w:fill="FFFFFF" w:themeFill="background1"/>
          <w:tcMar>
            <w:left w:w="0" w:type="dxa"/>
            <w:right w:w="0" w:type="dxa"/>
          </w:tcMar>
        </w:tcPr>
        <w:p w14:paraId="1758CE28" w14:textId="77777777" w:rsidR="00A417ED" w:rsidRPr="00A417ED" w:rsidRDefault="00A417ED" w:rsidP="00A417ED">
          <w:pPr>
            <w:pStyle w:val="Footer"/>
            <w:jc w:val="right"/>
            <w:rPr>
              <w:b w:val="0"/>
              <w:bCs/>
              <w:sz w:val="16"/>
              <w:szCs w:val="16"/>
            </w:rPr>
          </w:pPr>
          <w:r w:rsidRPr="00A417ED">
            <w:rPr>
              <w:b w:val="0"/>
              <w:bCs/>
              <w:sz w:val="16"/>
              <w:szCs w:val="16"/>
            </w:rPr>
            <w:t>Month yyyy</w:t>
          </w:r>
        </w:p>
      </w:tc>
    </w:tr>
  </w:tbl>
  <w:p w14:paraId="4E6F8242" w14:textId="77777777" w:rsidR="00312E03" w:rsidRPr="002038B5" w:rsidRDefault="00312E03" w:rsidP="00233EF0">
    <w:pPr>
      <w:rPr>
        <w:noProo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4B3DD" w14:textId="77777777" w:rsidR="007C0F56" w:rsidRDefault="007C0F56" w:rsidP="00424758">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9ABCB" w14:textId="77777777" w:rsidR="00EB74F2" w:rsidRDefault="00EB74F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E2B07" w14:textId="77777777" w:rsidR="00795015" w:rsidRPr="002038B5" w:rsidRDefault="00795015" w:rsidP="00DA194F">
    <w:pPr>
      <w:pStyle w:val="Footer"/>
      <w:tabs>
        <w:tab w:val="clear" w:pos="4513"/>
        <w:tab w:val="clear" w:pos="9026"/>
        <w:tab w:val="right" w:pos="9720"/>
      </w:tabs>
      <w:spacing w:before="240"/>
      <w:rPr>
        <w:noProof/>
        <w:sz w:val="16"/>
        <w:szCs w:val="16"/>
      </w:rPr>
    </w:pPr>
    <w:r>
      <w:rPr>
        <w:noProof/>
        <w:sz w:val="16"/>
        <w:szCs w:val="16"/>
      </w:rPr>
      <w:drawing>
        <wp:anchor distT="0" distB="0" distL="114300" distR="114300" simplePos="0" relativeHeight="251721216" behindDoc="1" locked="0" layoutInCell="1" allowOverlap="1" wp14:anchorId="4D0300BF" wp14:editId="0740708A">
          <wp:simplePos x="0" y="0"/>
          <wp:positionH relativeFrom="column">
            <wp:posOffset>6107430</wp:posOffset>
          </wp:positionH>
          <wp:positionV relativeFrom="paragraph">
            <wp:posOffset>223520</wp:posOffset>
          </wp:positionV>
          <wp:extent cx="822325" cy="208280"/>
          <wp:effectExtent l="0" t="0" r="0" b="1270"/>
          <wp:wrapNone/>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22325" cy="208280"/>
                  </a:xfrm>
                  <a:prstGeom prst="rect">
                    <a:avLst/>
                  </a:prstGeom>
                </pic:spPr>
              </pic:pic>
            </a:graphicData>
          </a:graphic>
        </wp:anchor>
      </w:drawing>
    </w:r>
    <w:r>
      <w:rPr>
        <w:noProof/>
        <w:sz w:val="16"/>
        <w:szCs w:val="16"/>
      </w:rPr>
      <mc:AlternateContent>
        <mc:Choice Requires="wps">
          <w:drawing>
            <wp:anchor distT="0" distB="0" distL="114300" distR="114300" simplePos="0" relativeHeight="251720192" behindDoc="0" locked="0" layoutInCell="1" allowOverlap="1" wp14:anchorId="4E2A06BE" wp14:editId="3D519219">
              <wp:simplePos x="0" y="0"/>
              <wp:positionH relativeFrom="column">
                <wp:posOffset>6177280</wp:posOffset>
              </wp:positionH>
              <wp:positionV relativeFrom="paragraph">
                <wp:posOffset>234950</wp:posOffset>
              </wp:positionV>
              <wp:extent cx="304800" cy="182880"/>
              <wp:effectExtent l="0" t="0" r="0" b="7620"/>
              <wp:wrapNone/>
              <wp:docPr id="1" name="Text Box 1"/>
              <wp:cNvGraphicFramePr/>
              <a:graphic xmlns:a="http://schemas.openxmlformats.org/drawingml/2006/main">
                <a:graphicData uri="http://schemas.microsoft.com/office/word/2010/wordprocessingShape">
                  <wps:wsp>
                    <wps:cNvSpPr txBox="1"/>
                    <wps:spPr>
                      <a:xfrm>
                        <a:off x="0" y="0"/>
                        <a:ext cx="304800" cy="182880"/>
                      </a:xfrm>
                      <a:prstGeom prst="rect">
                        <a:avLst/>
                      </a:prstGeom>
                      <a:noFill/>
                      <a:ln w="6350">
                        <a:noFill/>
                      </a:ln>
                    </wps:spPr>
                    <wps:txbx>
                      <w:txbxContent>
                        <w:sdt>
                          <w:sdtPr>
                            <w:rPr>
                              <w:color w:val="FFFFFF" w:themeColor="background1"/>
                              <w:sz w:val="14"/>
                              <w:szCs w:val="14"/>
                            </w:rPr>
                            <w:id w:val="629826396"/>
                            <w:docPartObj>
                              <w:docPartGallery w:val="Page Numbers (Bottom of Page)"/>
                              <w:docPartUnique/>
                            </w:docPartObj>
                          </w:sdtPr>
                          <w:sdtEndPr>
                            <w:rPr>
                              <w:noProof/>
                            </w:rPr>
                          </w:sdtEndPr>
                          <w:sdtContent>
                            <w:p w14:paraId="7D7C9EA5" w14:textId="77777777" w:rsidR="00795015" w:rsidRPr="003A4B7D" w:rsidRDefault="00795015" w:rsidP="00312E03">
                              <w:pPr>
                                <w:pStyle w:val="Footer"/>
                                <w:jc w:val="center"/>
                                <w:rPr>
                                  <w:color w:val="FFFFFF" w:themeColor="background1"/>
                                  <w:sz w:val="14"/>
                                  <w:szCs w:val="14"/>
                                </w:rPr>
                              </w:pPr>
                              <w:r w:rsidRPr="003A4B7D">
                                <w:rPr>
                                  <w:color w:val="FFFFFF" w:themeColor="background1"/>
                                  <w:sz w:val="14"/>
                                  <w:szCs w:val="14"/>
                                </w:rPr>
                                <w:fldChar w:fldCharType="begin"/>
                              </w:r>
                              <w:r w:rsidRPr="003A4B7D">
                                <w:rPr>
                                  <w:color w:val="FFFFFF" w:themeColor="background1"/>
                                  <w:sz w:val="14"/>
                                  <w:szCs w:val="14"/>
                                </w:rPr>
                                <w:instrText xml:space="preserve"> PAGE   \* MERGEFORMAT </w:instrText>
                              </w:r>
                              <w:r w:rsidRPr="003A4B7D">
                                <w:rPr>
                                  <w:color w:val="FFFFFF" w:themeColor="background1"/>
                                  <w:sz w:val="14"/>
                                  <w:szCs w:val="14"/>
                                </w:rPr>
                                <w:fldChar w:fldCharType="separate"/>
                              </w:r>
                              <w:r w:rsidRPr="003A4B7D">
                                <w:rPr>
                                  <w:color w:val="FFFFFF" w:themeColor="background1"/>
                                  <w:sz w:val="14"/>
                                  <w:szCs w:val="14"/>
                                </w:rPr>
                                <w:t>1</w:t>
                              </w:r>
                              <w:r w:rsidRPr="003A4B7D">
                                <w:rPr>
                                  <w:noProof/>
                                  <w:color w:val="FFFFFF" w:themeColor="background1"/>
                                  <w:sz w:val="14"/>
                                  <w:szCs w:val="14"/>
                                </w:rPr>
                                <w:fldChar w:fldCharType="end"/>
                              </w:r>
                            </w:p>
                          </w:sdtContent>
                        </w:sdt>
                        <w:p w14:paraId="30DF1EA6" w14:textId="77777777" w:rsidR="00795015" w:rsidRPr="003A4B7D" w:rsidRDefault="00795015" w:rsidP="00312E03">
                          <w:pPr>
                            <w:pStyle w:val="Footer"/>
                            <w:jc w:val="center"/>
                            <w:rPr>
                              <w:color w:val="FFFFFF" w:themeColor="background1"/>
                              <w:sz w:val="10"/>
                              <w:szCs w:val="1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E2A06BE" id="_x0000_t202" coordsize="21600,21600" o:spt="202" path="m,l,21600r21600,l21600,xe">
              <v:stroke joinstyle="miter"/>
              <v:path gradientshapeok="t" o:connecttype="rect"/>
            </v:shapetype>
            <v:shape id="Text Box 1" o:spid="_x0000_s1028" type="#_x0000_t202" style="position:absolute;margin-left:486.4pt;margin-top:18.5pt;width:24pt;height:14.4pt;z-index:251720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" filled="f" stroked="f" strokeweight=".5pt">
              <v:textbox>
                <w:txbxContent>
                  <w:sdt>
                    <w:sdtPr>
                      <w:rPr>
                        <w:color w:val="FFFFFF" w:themeColor="background1"/>
                        <w:sz w:val="14"/>
                        <w:szCs w:val="14"/>
                      </w:rPr>
                      <w:id w:val="629826396"/>
                      <w:docPartObj>
                        <w:docPartGallery w:val="Page Numbers (Bottom of Page)"/>
                        <w:docPartUnique/>
                      </w:docPartObj>
                    </w:sdtPr>
                    <w:sdtEndPr>
                      <w:rPr>
                        <w:noProof/>
                      </w:rPr>
                    </w:sdtEndPr>
                    <w:sdtContent>
                      <w:p w14:paraId="7D7C9EA5" w14:textId="77777777" w:rsidR="00795015" w:rsidRPr="003A4B7D" w:rsidRDefault="00795015" w:rsidP="00312E03">
                        <w:pPr>
                          <w:pStyle w:val="Footer"/>
                          <w:jc w:val="center"/>
                          <w:rPr>
                            <w:color w:val="FFFFFF" w:themeColor="background1"/>
                            <w:sz w:val="14"/>
                            <w:szCs w:val="14"/>
                          </w:rPr>
                        </w:pPr>
                        <w:r w:rsidRPr="003A4B7D">
                          <w:rPr>
                            <w:color w:val="FFFFFF" w:themeColor="background1"/>
                            <w:sz w:val="14"/>
                            <w:szCs w:val="14"/>
                          </w:rPr>
                          <w:fldChar w:fldCharType="begin"/>
                        </w:r>
                        <w:r w:rsidRPr="003A4B7D">
                          <w:rPr>
                            <w:color w:val="FFFFFF" w:themeColor="background1"/>
                            <w:sz w:val="14"/>
                            <w:szCs w:val="14"/>
                          </w:rPr>
                          <w:instrText xml:space="preserve"> PAGE   \* MERGEFORMAT </w:instrText>
                        </w:r>
                        <w:r w:rsidRPr="003A4B7D">
                          <w:rPr>
                            <w:color w:val="FFFFFF" w:themeColor="background1"/>
                            <w:sz w:val="14"/>
                            <w:szCs w:val="14"/>
                          </w:rPr>
                          <w:fldChar w:fldCharType="separate"/>
                        </w:r>
                        <w:r w:rsidRPr="003A4B7D">
                          <w:rPr>
                            <w:color w:val="FFFFFF" w:themeColor="background1"/>
                            <w:sz w:val="14"/>
                            <w:szCs w:val="14"/>
                          </w:rPr>
                          <w:t>1</w:t>
                        </w:r>
                        <w:r w:rsidRPr="003A4B7D">
                          <w:rPr>
                            <w:noProof/>
                            <w:color w:val="FFFFFF" w:themeColor="background1"/>
                            <w:sz w:val="14"/>
                            <w:szCs w:val="14"/>
                          </w:rPr>
                          <w:fldChar w:fldCharType="end"/>
                        </w:r>
                      </w:p>
                    </w:sdtContent>
                  </w:sdt>
                  <w:p w14:paraId="30DF1EA6" w14:textId="77777777" w:rsidR="00795015" w:rsidRPr="003A4B7D" w:rsidRDefault="00795015" w:rsidP="00312E03">
                    <w:pPr>
                      <w:pStyle w:val="Footer"/>
                      <w:jc w:val="center"/>
                      <w:rPr>
                        <w:color w:val="FFFFFF" w:themeColor="background1"/>
                        <w:sz w:val="10"/>
                        <w:szCs w:val="10"/>
                        <w:lang w:val="en-US"/>
                      </w:rPr>
                    </w:pPr>
                  </w:p>
                </w:txbxContent>
              </v:textbox>
            </v:shape>
          </w:pict>
        </mc:Fallback>
      </mc:AlternateContent>
    </w:r>
  </w:p>
  <w:tbl>
    <w:tblPr>
      <w:tblStyle w:val="Style1"/>
      <w:tblpPr w:leftFromText="181" w:rightFromText="181" w:vertAnchor="text" w:tblpY="1"/>
      <w:tblW w:w="4700" w:type="pct"/>
      <w:tblBorders>
        <w:bottom w:val="none" w:sz="0" w:space="0" w:color="auto"/>
        <w:insideH w:val="none" w:sz="0" w:space="0" w:color="auto"/>
      </w:tblBorders>
      <w:tblLook w:val="04A0" w:firstRow="1" w:lastRow="0" w:firstColumn="1" w:lastColumn="0" w:noHBand="0" w:noVBand="1"/>
    </w:tblPr>
    <w:tblGrid>
      <w:gridCol w:w="3296"/>
      <w:gridCol w:w="3295"/>
      <w:gridCol w:w="2732"/>
    </w:tblGrid>
    <w:tr w:rsidR="00795015" w14:paraId="4EAD47BB" w14:textId="77777777" w:rsidTr="000D5FF5">
      <w:trPr>
        <w:cnfStyle w:val="100000000000" w:firstRow="1" w:lastRow="0" w:firstColumn="0" w:lastColumn="0" w:oddVBand="0" w:evenVBand="0" w:oddHBand="0" w:evenHBand="0" w:firstRowFirstColumn="0" w:firstRowLastColumn="0" w:lastRowFirstColumn="0" w:lastRowLastColumn="0"/>
      </w:trPr>
      <w:tc>
        <w:tcPr>
          <w:tcW w:w="3307" w:type="dxa"/>
          <w:tcBorders>
            <w:bottom w:val="none" w:sz="0" w:space="0" w:color="auto"/>
          </w:tcBorders>
          <w:shd w:val="clear" w:color="auto" w:fill="FFFFFF" w:themeFill="background1"/>
          <w:tcMar>
            <w:left w:w="0" w:type="dxa"/>
            <w:right w:w="0" w:type="dxa"/>
          </w:tcMar>
        </w:tcPr>
        <w:p w14:paraId="1C2585D6" w14:textId="77777777" w:rsidR="00795015" w:rsidRPr="00A417ED" w:rsidRDefault="00795015" w:rsidP="00A417ED">
          <w:pPr>
            <w:pStyle w:val="Footer"/>
            <w:rPr>
              <w:b w:val="0"/>
              <w:bCs/>
              <w:sz w:val="16"/>
              <w:szCs w:val="16"/>
            </w:rPr>
          </w:pPr>
          <w:r w:rsidRPr="00A417ED">
            <w:rPr>
              <w:b w:val="0"/>
              <w:bCs/>
              <w:sz w:val="16"/>
              <w:szCs w:val="16"/>
            </w:rPr>
            <w:t>Circulation Limited: Client</w:t>
          </w:r>
        </w:p>
      </w:tc>
      <w:tc>
        <w:tcPr>
          <w:tcW w:w="3307" w:type="dxa"/>
          <w:tcBorders>
            <w:bottom w:val="none" w:sz="0" w:space="0" w:color="auto"/>
          </w:tcBorders>
          <w:shd w:val="clear" w:color="auto" w:fill="FFFFFF" w:themeFill="background1"/>
          <w:tcMar>
            <w:left w:w="0" w:type="dxa"/>
            <w:right w:w="0" w:type="dxa"/>
          </w:tcMar>
        </w:tcPr>
        <w:p w14:paraId="668C117F" w14:textId="77777777" w:rsidR="00795015" w:rsidRPr="00A417ED" w:rsidRDefault="00795015" w:rsidP="00A417ED">
          <w:pPr>
            <w:pStyle w:val="Footer"/>
            <w:jc w:val="center"/>
            <w:rPr>
              <w:b w:val="0"/>
              <w:bCs/>
              <w:sz w:val="16"/>
              <w:szCs w:val="16"/>
            </w:rPr>
          </w:pPr>
          <w:r w:rsidRPr="00A417ED">
            <w:rPr>
              <w:b w:val="0"/>
              <w:bCs/>
              <w:sz w:val="16"/>
              <w:szCs w:val="16"/>
            </w:rPr>
            <w:t>Version x.x</w:t>
          </w:r>
        </w:p>
      </w:tc>
      <w:tc>
        <w:tcPr>
          <w:tcW w:w="2742" w:type="dxa"/>
          <w:tcBorders>
            <w:bottom w:val="none" w:sz="0" w:space="0" w:color="auto"/>
          </w:tcBorders>
          <w:shd w:val="clear" w:color="auto" w:fill="FFFFFF" w:themeFill="background1"/>
          <w:tcMar>
            <w:left w:w="0" w:type="dxa"/>
            <w:right w:w="0" w:type="dxa"/>
          </w:tcMar>
        </w:tcPr>
        <w:p w14:paraId="26881C2A" w14:textId="77777777" w:rsidR="00795015" w:rsidRPr="006E5E1D" w:rsidRDefault="004406CA" w:rsidP="00A417ED">
          <w:pPr>
            <w:pStyle w:val="Footer"/>
            <w:jc w:val="right"/>
            <w:rPr>
              <w:b w:val="0"/>
              <w:bCs/>
              <w:sz w:val="16"/>
              <w:szCs w:val="16"/>
            </w:rPr>
          </w:pPr>
          <w:r w:rsidRPr="006E5E1D">
            <w:rPr>
              <w:bCs/>
              <w:sz w:val="16"/>
              <w:szCs w:val="16"/>
            </w:rPr>
            <w:fldChar w:fldCharType="begin"/>
          </w:r>
          <w:r w:rsidRPr="006E5E1D">
            <w:rPr>
              <w:b w:val="0"/>
              <w:bCs/>
              <w:sz w:val="16"/>
              <w:szCs w:val="16"/>
            </w:rPr>
            <w:instrText xml:space="preserve"> DATE  \@ "MMMM yyyy" </w:instrText>
          </w:r>
          <w:r w:rsidRPr="006E5E1D">
            <w:rPr>
              <w:bCs/>
              <w:sz w:val="16"/>
              <w:szCs w:val="16"/>
            </w:rPr>
            <w:fldChar w:fldCharType="separate"/>
          </w:r>
          <w:r w:rsidR="00AC4D99">
            <w:rPr>
              <w:bCs/>
              <w:noProof/>
              <w:sz w:val="16"/>
              <w:szCs w:val="16"/>
            </w:rPr>
            <w:t>June 2026</w:t>
          </w:r>
          <w:r w:rsidRPr="006E5E1D">
            <w:rPr>
              <w:bCs/>
              <w:sz w:val="16"/>
              <w:szCs w:val="16"/>
            </w:rPr>
            <w:fldChar w:fldCharType="end"/>
          </w:r>
        </w:p>
      </w:tc>
    </w:tr>
  </w:tbl>
  <w:p w14:paraId="68A5ADEB" w14:textId="77777777" w:rsidR="00795015" w:rsidRPr="002038B5" w:rsidRDefault="00795015" w:rsidP="00233EF0">
    <w:pPr>
      <w:rPr>
        <w:noProof/>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DB9D9" w14:textId="77777777" w:rsidR="00EB74F2" w:rsidRDefault="00EB74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1AD8D" w14:textId="77777777" w:rsidR="003E5AA0" w:rsidRDefault="003E5AA0" w:rsidP="00785FBA">
      <w:r>
        <w:separator/>
      </w:r>
    </w:p>
  </w:footnote>
  <w:footnote w:type="continuationSeparator" w:id="0">
    <w:p w14:paraId="07B4599B" w14:textId="77777777" w:rsidR="003E5AA0" w:rsidRDefault="003E5AA0" w:rsidP="00785F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5419F" w14:textId="77777777" w:rsidR="006E5E1D" w:rsidRDefault="006E5E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793A9" w14:textId="77777777" w:rsidR="006E5E1D" w:rsidRDefault="006E5E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E7A21" w14:textId="77777777" w:rsidR="000F1FD4" w:rsidRDefault="00A75459" w:rsidP="00785FBA">
    <w:pPr>
      <w:pStyle w:val="Header"/>
    </w:pPr>
    <w:r>
      <w:rPr>
        <w:noProof/>
      </w:rPr>
      <w:drawing>
        <wp:anchor distT="0" distB="0" distL="114300" distR="114300" simplePos="0" relativeHeight="251706879" behindDoc="1" locked="0" layoutInCell="1" allowOverlap="1" wp14:anchorId="539311A2" wp14:editId="4C184E97">
          <wp:simplePos x="0" y="0"/>
          <wp:positionH relativeFrom="column">
            <wp:posOffset>-631190</wp:posOffset>
          </wp:positionH>
          <wp:positionV relativeFrom="paragraph">
            <wp:posOffset>-356870</wp:posOffset>
          </wp:positionV>
          <wp:extent cx="7559549" cy="10688400"/>
          <wp:effectExtent l="0" t="0" r="3810" b="0"/>
          <wp:wrapNone/>
          <wp:docPr id="27" name="Picture 27"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Background patter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549" cy="10688400"/>
                  </a:xfrm>
                  <a:prstGeom prst="rect">
                    <a:avLst/>
                  </a:prstGeom>
                  <a:noFill/>
                  <a:ln>
                    <a:noFill/>
                  </a:ln>
                </pic:spPr>
              </pic:pic>
            </a:graphicData>
          </a:graphic>
          <wp14:sizeRelH relativeFrom="page">
            <wp14:pctWidth>0</wp14:pctWidth>
          </wp14:sizeRelH>
          <wp14:sizeRelV relativeFrom="page">
            <wp14:pctHeight>0</wp14:pctHeight>
          </wp14:sizeRelV>
        </wp:anchor>
      </w:drawing>
    </w:r>
    <w:r w:rsidR="00517C4F">
      <w:rPr>
        <w:noProof/>
      </w:rPr>
      <w:drawing>
        <wp:anchor distT="0" distB="0" distL="114300" distR="114300" simplePos="0" relativeHeight="251707904" behindDoc="1" locked="0" layoutInCell="1" allowOverlap="1" wp14:anchorId="5B8BCF6B" wp14:editId="1DA13089">
          <wp:simplePos x="0" y="0"/>
          <wp:positionH relativeFrom="margin">
            <wp:align>right</wp:align>
          </wp:positionH>
          <wp:positionV relativeFrom="margin">
            <wp:align>top</wp:align>
          </wp:positionV>
          <wp:extent cx="3048294" cy="1016098"/>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3048294" cy="1016098"/>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6911C" w14:textId="77777777" w:rsidR="00EB74F2" w:rsidRDefault="00EB74F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67CDE" w14:textId="77777777" w:rsidR="00E4779D" w:rsidRPr="00DE4567" w:rsidRDefault="00C351BA" w:rsidP="00DE4567">
    <w:pPr>
      <w:pStyle w:val="Header"/>
    </w:pPr>
    <w:r>
      <w:rPr>
        <w:noProof/>
      </w:rPr>
      <w:drawing>
        <wp:anchor distT="0" distB="0" distL="114300" distR="114300" simplePos="0" relativeHeight="251718144" behindDoc="1" locked="0" layoutInCell="1" allowOverlap="1" wp14:anchorId="4BCFCA7D" wp14:editId="7D980BA0">
          <wp:simplePos x="0" y="0"/>
          <wp:positionH relativeFrom="margin">
            <wp:posOffset>5157470</wp:posOffset>
          </wp:positionH>
          <wp:positionV relativeFrom="margin">
            <wp:posOffset>-530225</wp:posOffset>
          </wp:positionV>
          <wp:extent cx="1143000" cy="384048"/>
          <wp:effectExtent l="0" t="0" r="0" b="0"/>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43000" cy="384048"/>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32FBE" w14:textId="77777777" w:rsidR="00EB74F2" w:rsidRDefault="00EB74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702"/>
    <w:multiLevelType w:val="hybridMultilevel"/>
    <w:tmpl w:val="4D4EF92C"/>
    <w:lvl w:ilvl="0" w:tplc="4FEA1BDA">
      <w:start w:val="1"/>
      <w:numFmt w:val="bullet"/>
      <w:lvlText w:val="•"/>
      <w:lvlJc w:val="left"/>
      <w:pPr>
        <w:ind w:left="360" w:hanging="360"/>
      </w:pPr>
      <w:rPr>
        <w:rFonts w:ascii="Arial" w:hAnsi="Arial" w:hint="default"/>
        <w:b w:val="0"/>
        <w:i w:val="0"/>
        <w:caps w:val="0"/>
        <w:strike w:val="0"/>
        <w:dstrike w:val="0"/>
        <w:vanish w:val="0"/>
        <w:color w:val="FF6196" w:themeColor="accent1"/>
        <w:sz w:val="22"/>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2BA39D4"/>
    <w:multiLevelType w:val="hybridMultilevel"/>
    <w:tmpl w:val="7FF43238"/>
    <w:lvl w:ilvl="0" w:tplc="871E20C6">
      <w:start w:val="1"/>
      <w:numFmt w:val="bullet"/>
      <w:lvlText w:val="−"/>
      <w:lvlJc w:val="left"/>
      <w:pPr>
        <w:ind w:left="720" w:hanging="360"/>
      </w:pPr>
      <w:rPr>
        <w:rFonts w:ascii="Arial" w:hAnsi="Arial" w:hint="default"/>
        <w:b w:val="0"/>
        <w:i w:val="0"/>
        <w:color w:val="173845"/>
        <w:sz w:val="24"/>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E132CC9"/>
    <w:multiLevelType w:val="hybridMultilevel"/>
    <w:tmpl w:val="CD8894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2E7EC2"/>
    <w:multiLevelType w:val="hybridMultilevel"/>
    <w:tmpl w:val="52308B6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08B698C"/>
    <w:multiLevelType w:val="hybridMultilevel"/>
    <w:tmpl w:val="4700172A"/>
    <w:lvl w:ilvl="0" w:tplc="6F3828FC">
      <w:start w:val="1"/>
      <w:numFmt w:val="bullet"/>
      <w:lvlText w:val=""/>
      <w:lvlJc w:val="left"/>
      <w:pPr>
        <w:ind w:left="1074" w:hanging="360"/>
      </w:pPr>
      <w:rPr>
        <w:rFonts w:ascii="Wingdings" w:hAnsi="Wingdings" w:hint="default"/>
        <w:color w:val="FF6196" w:themeColor="accent1"/>
        <w:sz w:val="22"/>
      </w:rPr>
    </w:lvl>
    <w:lvl w:ilvl="1" w:tplc="04090003" w:tentative="1">
      <w:start w:val="1"/>
      <w:numFmt w:val="bullet"/>
      <w:lvlText w:val="o"/>
      <w:lvlJc w:val="left"/>
      <w:pPr>
        <w:ind w:left="3090" w:hanging="360"/>
      </w:pPr>
      <w:rPr>
        <w:rFonts w:ascii="Courier New" w:hAnsi="Courier New" w:cs="Courier New" w:hint="default"/>
      </w:rPr>
    </w:lvl>
    <w:lvl w:ilvl="2" w:tplc="04090005" w:tentative="1">
      <w:start w:val="1"/>
      <w:numFmt w:val="bullet"/>
      <w:lvlText w:val=""/>
      <w:lvlJc w:val="left"/>
      <w:pPr>
        <w:ind w:left="3810" w:hanging="360"/>
      </w:pPr>
      <w:rPr>
        <w:rFonts w:ascii="Wingdings" w:hAnsi="Wingdings" w:hint="default"/>
      </w:rPr>
    </w:lvl>
    <w:lvl w:ilvl="3" w:tplc="04090001" w:tentative="1">
      <w:start w:val="1"/>
      <w:numFmt w:val="bullet"/>
      <w:lvlText w:val=""/>
      <w:lvlJc w:val="left"/>
      <w:pPr>
        <w:ind w:left="4530" w:hanging="360"/>
      </w:pPr>
      <w:rPr>
        <w:rFonts w:ascii="Symbol" w:hAnsi="Symbol" w:hint="default"/>
      </w:rPr>
    </w:lvl>
    <w:lvl w:ilvl="4" w:tplc="04090003" w:tentative="1">
      <w:start w:val="1"/>
      <w:numFmt w:val="bullet"/>
      <w:lvlText w:val="o"/>
      <w:lvlJc w:val="left"/>
      <w:pPr>
        <w:ind w:left="5250" w:hanging="360"/>
      </w:pPr>
      <w:rPr>
        <w:rFonts w:ascii="Courier New" w:hAnsi="Courier New" w:cs="Courier New" w:hint="default"/>
      </w:rPr>
    </w:lvl>
    <w:lvl w:ilvl="5" w:tplc="04090005" w:tentative="1">
      <w:start w:val="1"/>
      <w:numFmt w:val="bullet"/>
      <w:lvlText w:val=""/>
      <w:lvlJc w:val="left"/>
      <w:pPr>
        <w:ind w:left="5970" w:hanging="360"/>
      </w:pPr>
      <w:rPr>
        <w:rFonts w:ascii="Wingdings" w:hAnsi="Wingdings" w:hint="default"/>
      </w:rPr>
    </w:lvl>
    <w:lvl w:ilvl="6" w:tplc="04090001" w:tentative="1">
      <w:start w:val="1"/>
      <w:numFmt w:val="bullet"/>
      <w:lvlText w:val=""/>
      <w:lvlJc w:val="left"/>
      <w:pPr>
        <w:ind w:left="6690" w:hanging="360"/>
      </w:pPr>
      <w:rPr>
        <w:rFonts w:ascii="Symbol" w:hAnsi="Symbol" w:hint="default"/>
      </w:rPr>
    </w:lvl>
    <w:lvl w:ilvl="7" w:tplc="04090003" w:tentative="1">
      <w:start w:val="1"/>
      <w:numFmt w:val="bullet"/>
      <w:lvlText w:val="o"/>
      <w:lvlJc w:val="left"/>
      <w:pPr>
        <w:ind w:left="7410" w:hanging="360"/>
      </w:pPr>
      <w:rPr>
        <w:rFonts w:ascii="Courier New" w:hAnsi="Courier New" w:cs="Courier New" w:hint="default"/>
      </w:rPr>
    </w:lvl>
    <w:lvl w:ilvl="8" w:tplc="04090005" w:tentative="1">
      <w:start w:val="1"/>
      <w:numFmt w:val="bullet"/>
      <w:lvlText w:val=""/>
      <w:lvlJc w:val="left"/>
      <w:pPr>
        <w:ind w:left="8130" w:hanging="360"/>
      </w:pPr>
      <w:rPr>
        <w:rFonts w:ascii="Wingdings" w:hAnsi="Wingdings" w:hint="default"/>
      </w:rPr>
    </w:lvl>
  </w:abstractNum>
  <w:abstractNum w:abstractNumId="5" w15:restartNumberingAfterBreak="0">
    <w:nsid w:val="12CC3CD3"/>
    <w:multiLevelType w:val="hybridMultilevel"/>
    <w:tmpl w:val="33C8F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7D547E"/>
    <w:multiLevelType w:val="hybridMultilevel"/>
    <w:tmpl w:val="ED764B7C"/>
    <w:lvl w:ilvl="0" w:tplc="6B62F2BE">
      <w:start w:val="1"/>
      <w:numFmt w:val="decimal"/>
      <w:pStyle w:val="NumberList"/>
      <w:lvlText w:val="%1."/>
      <w:lvlJc w:val="left"/>
      <w:pPr>
        <w:ind w:left="720" w:hanging="360"/>
      </w:pPr>
      <w:rPr>
        <w:rFonts w:ascii="Arial" w:hAnsi="Arial" w:hint="default"/>
        <w:color w:val="auto"/>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969081F"/>
    <w:multiLevelType w:val="hybridMultilevel"/>
    <w:tmpl w:val="73A02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CE0590"/>
    <w:multiLevelType w:val="hybridMultilevel"/>
    <w:tmpl w:val="239C6188"/>
    <w:lvl w:ilvl="0" w:tplc="FB48AC58">
      <w:start w:val="1"/>
      <w:numFmt w:val="bullet"/>
      <w:lvlText w:val="•"/>
      <w:lvlJc w:val="left"/>
      <w:pPr>
        <w:ind w:left="360" w:hanging="360"/>
      </w:pPr>
      <w:rPr>
        <w:rFonts w:ascii="Arial" w:hAnsi="Arial" w:hint="default"/>
        <w:b w:val="0"/>
        <w:i w:val="0"/>
        <w:caps w:val="0"/>
        <w:strike w:val="0"/>
        <w:dstrike w:val="0"/>
        <w:vanish w:val="0"/>
        <w:color w:val="173845"/>
        <w:sz w:val="24"/>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2CA74F9A"/>
    <w:multiLevelType w:val="hybridMultilevel"/>
    <w:tmpl w:val="3F0ACEA6"/>
    <w:lvl w:ilvl="0" w:tplc="F87EC44E">
      <w:start w:val="1"/>
      <w:numFmt w:val="bullet"/>
      <w:lvlText w:val="•"/>
      <w:lvlJc w:val="left"/>
      <w:pPr>
        <w:ind w:left="360" w:hanging="360"/>
      </w:pPr>
      <w:rPr>
        <w:rFonts w:ascii="Arial" w:hAnsi="Arial" w:hint="default"/>
        <w:b w:val="0"/>
        <w:i w:val="0"/>
        <w:caps w:val="0"/>
        <w:strike w:val="0"/>
        <w:dstrike w:val="0"/>
        <w:vanish w:val="0"/>
        <w:color w:val="173845"/>
        <w:sz w:val="24"/>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32366C39"/>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88D417D"/>
    <w:multiLevelType w:val="hybridMultilevel"/>
    <w:tmpl w:val="F9524BA6"/>
    <w:lvl w:ilvl="0" w:tplc="94E208BA">
      <w:start w:val="1"/>
      <w:numFmt w:val="bullet"/>
      <w:pStyle w:val="Subsubbullet"/>
      <w:lvlText w:val=""/>
      <w:lvlJc w:val="left"/>
      <w:pPr>
        <w:ind w:left="1074" w:hanging="360"/>
      </w:pPr>
      <w:rPr>
        <w:rFonts w:ascii="Wingdings" w:hAnsi="Wingdings" w:hint="default"/>
        <w:color w:val="19105B" w:themeColor="background2"/>
        <w:sz w:val="22"/>
      </w:rPr>
    </w:lvl>
    <w:lvl w:ilvl="1" w:tplc="04090003" w:tentative="1">
      <w:start w:val="1"/>
      <w:numFmt w:val="bullet"/>
      <w:lvlText w:val="o"/>
      <w:lvlJc w:val="left"/>
      <w:pPr>
        <w:ind w:left="3090" w:hanging="360"/>
      </w:pPr>
      <w:rPr>
        <w:rFonts w:ascii="Courier New" w:hAnsi="Courier New" w:cs="Courier New" w:hint="default"/>
      </w:rPr>
    </w:lvl>
    <w:lvl w:ilvl="2" w:tplc="04090005" w:tentative="1">
      <w:start w:val="1"/>
      <w:numFmt w:val="bullet"/>
      <w:lvlText w:val=""/>
      <w:lvlJc w:val="left"/>
      <w:pPr>
        <w:ind w:left="3810" w:hanging="360"/>
      </w:pPr>
      <w:rPr>
        <w:rFonts w:ascii="Wingdings" w:hAnsi="Wingdings" w:hint="default"/>
      </w:rPr>
    </w:lvl>
    <w:lvl w:ilvl="3" w:tplc="04090001" w:tentative="1">
      <w:start w:val="1"/>
      <w:numFmt w:val="bullet"/>
      <w:lvlText w:val=""/>
      <w:lvlJc w:val="left"/>
      <w:pPr>
        <w:ind w:left="4530" w:hanging="360"/>
      </w:pPr>
      <w:rPr>
        <w:rFonts w:ascii="Symbol" w:hAnsi="Symbol" w:hint="default"/>
      </w:rPr>
    </w:lvl>
    <w:lvl w:ilvl="4" w:tplc="04090003" w:tentative="1">
      <w:start w:val="1"/>
      <w:numFmt w:val="bullet"/>
      <w:lvlText w:val="o"/>
      <w:lvlJc w:val="left"/>
      <w:pPr>
        <w:ind w:left="5250" w:hanging="360"/>
      </w:pPr>
      <w:rPr>
        <w:rFonts w:ascii="Courier New" w:hAnsi="Courier New" w:cs="Courier New" w:hint="default"/>
      </w:rPr>
    </w:lvl>
    <w:lvl w:ilvl="5" w:tplc="04090005" w:tentative="1">
      <w:start w:val="1"/>
      <w:numFmt w:val="bullet"/>
      <w:lvlText w:val=""/>
      <w:lvlJc w:val="left"/>
      <w:pPr>
        <w:ind w:left="5970" w:hanging="360"/>
      </w:pPr>
      <w:rPr>
        <w:rFonts w:ascii="Wingdings" w:hAnsi="Wingdings" w:hint="default"/>
      </w:rPr>
    </w:lvl>
    <w:lvl w:ilvl="6" w:tplc="04090001" w:tentative="1">
      <w:start w:val="1"/>
      <w:numFmt w:val="bullet"/>
      <w:lvlText w:val=""/>
      <w:lvlJc w:val="left"/>
      <w:pPr>
        <w:ind w:left="6690" w:hanging="360"/>
      </w:pPr>
      <w:rPr>
        <w:rFonts w:ascii="Symbol" w:hAnsi="Symbol" w:hint="default"/>
      </w:rPr>
    </w:lvl>
    <w:lvl w:ilvl="7" w:tplc="04090003" w:tentative="1">
      <w:start w:val="1"/>
      <w:numFmt w:val="bullet"/>
      <w:lvlText w:val="o"/>
      <w:lvlJc w:val="left"/>
      <w:pPr>
        <w:ind w:left="7410" w:hanging="360"/>
      </w:pPr>
      <w:rPr>
        <w:rFonts w:ascii="Courier New" w:hAnsi="Courier New" w:cs="Courier New" w:hint="default"/>
      </w:rPr>
    </w:lvl>
    <w:lvl w:ilvl="8" w:tplc="04090005" w:tentative="1">
      <w:start w:val="1"/>
      <w:numFmt w:val="bullet"/>
      <w:lvlText w:val=""/>
      <w:lvlJc w:val="left"/>
      <w:pPr>
        <w:ind w:left="8130" w:hanging="360"/>
      </w:pPr>
      <w:rPr>
        <w:rFonts w:ascii="Wingdings" w:hAnsi="Wingdings" w:hint="default"/>
      </w:rPr>
    </w:lvl>
  </w:abstractNum>
  <w:abstractNum w:abstractNumId="12" w15:restartNumberingAfterBreak="0">
    <w:nsid w:val="3A8B1E91"/>
    <w:multiLevelType w:val="hybridMultilevel"/>
    <w:tmpl w:val="D5B628A0"/>
    <w:lvl w:ilvl="0" w:tplc="DD34C4B6">
      <w:start w:val="1"/>
      <w:numFmt w:val="bullet"/>
      <w:pStyle w:val="ListParagraph"/>
      <w:lvlText w:val=""/>
      <w:lvlJc w:val="left"/>
      <w:pPr>
        <w:ind w:left="720" w:hanging="360"/>
      </w:pPr>
      <w:rPr>
        <w:rFonts w:ascii="Symbol" w:hAnsi="Symbol" w:hint="default"/>
        <w:color w:val="173845"/>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B446F85"/>
    <w:multiLevelType w:val="hybridMultilevel"/>
    <w:tmpl w:val="14BE0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387C4E"/>
    <w:multiLevelType w:val="hybridMultilevel"/>
    <w:tmpl w:val="08225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4A4192F"/>
    <w:multiLevelType w:val="hybridMultilevel"/>
    <w:tmpl w:val="928C9866"/>
    <w:lvl w:ilvl="0" w:tplc="29503FBC">
      <w:start w:val="1"/>
      <w:numFmt w:val="bullet"/>
      <w:pStyle w:val="SubBullet"/>
      <w:lvlText w:val="−"/>
      <w:lvlJc w:val="left"/>
      <w:pPr>
        <w:ind w:left="720" w:hanging="360"/>
      </w:pPr>
      <w:rPr>
        <w:rFonts w:ascii="Arial" w:hAnsi="Arial" w:hint="default"/>
        <w:b w:val="0"/>
        <w:i w:val="0"/>
        <w:color w:val="19105B" w:themeColor="background2"/>
        <w:sz w:val="2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48F46FD5"/>
    <w:multiLevelType w:val="hybridMultilevel"/>
    <w:tmpl w:val="FFB6957E"/>
    <w:lvl w:ilvl="0" w:tplc="7ABC00FE">
      <w:start w:val="1"/>
      <w:numFmt w:val="bullet"/>
      <w:lvlText w:val=""/>
      <w:lvlJc w:val="left"/>
      <w:pPr>
        <w:ind w:left="1771" w:hanging="360"/>
      </w:pPr>
      <w:rPr>
        <w:rFonts w:ascii="Wingdings" w:hAnsi="Wingdings" w:hint="default"/>
        <w:color w:val="173845"/>
        <w:sz w:val="24"/>
      </w:rPr>
    </w:lvl>
    <w:lvl w:ilvl="1" w:tplc="04090003" w:tentative="1">
      <w:start w:val="1"/>
      <w:numFmt w:val="bullet"/>
      <w:lvlText w:val="o"/>
      <w:lvlJc w:val="left"/>
      <w:pPr>
        <w:ind w:left="3090" w:hanging="360"/>
      </w:pPr>
      <w:rPr>
        <w:rFonts w:ascii="Courier New" w:hAnsi="Courier New" w:cs="Courier New" w:hint="default"/>
      </w:rPr>
    </w:lvl>
    <w:lvl w:ilvl="2" w:tplc="04090005" w:tentative="1">
      <w:start w:val="1"/>
      <w:numFmt w:val="bullet"/>
      <w:lvlText w:val=""/>
      <w:lvlJc w:val="left"/>
      <w:pPr>
        <w:ind w:left="3810" w:hanging="360"/>
      </w:pPr>
      <w:rPr>
        <w:rFonts w:ascii="Wingdings" w:hAnsi="Wingdings" w:hint="default"/>
      </w:rPr>
    </w:lvl>
    <w:lvl w:ilvl="3" w:tplc="04090001" w:tentative="1">
      <w:start w:val="1"/>
      <w:numFmt w:val="bullet"/>
      <w:lvlText w:val=""/>
      <w:lvlJc w:val="left"/>
      <w:pPr>
        <w:ind w:left="4530" w:hanging="360"/>
      </w:pPr>
      <w:rPr>
        <w:rFonts w:ascii="Symbol" w:hAnsi="Symbol" w:hint="default"/>
      </w:rPr>
    </w:lvl>
    <w:lvl w:ilvl="4" w:tplc="04090003" w:tentative="1">
      <w:start w:val="1"/>
      <w:numFmt w:val="bullet"/>
      <w:lvlText w:val="o"/>
      <w:lvlJc w:val="left"/>
      <w:pPr>
        <w:ind w:left="5250" w:hanging="360"/>
      </w:pPr>
      <w:rPr>
        <w:rFonts w:ascii="Courier New" w:hAnsi="Courier New" w:cs="Courier New" w:hint="default"/>
      </w:rPr>
    </w:lvl>
    <w:lvl w:ilvl="5" w:tplc="04090005" w:tentative="1">
      <w:start w:val="1"/>
      <w:numFmt w:val="bullet"/>
      <w:lvlText w:val=""/>
      <w:lvlJc w:val="left"/>
      <w:pPr>
        <w:ind w:left="5970" w:hanging="360"/>
      </w:pPr>
      <w:rPr>
        <w:rFonts w:ascii="Wingdings" w:hAnsi="Wingdings" w:hint="default"/>
      </w:rPr>
    </w:lvl>
    <w:lvl w:ilvl="6" w:tplc="04090001" w:tentative="1">
      <w:start w:val="1"/>
      <w:numFmt w:val="bullet"/>
      <w:lvlText w:val=""/>
      <w:lvlJc w:val="left"/>
      <w:pPr>
        <w:ind w:left="6690" w:hanging="360"/>
      </w:pPr>
      <w:rPr>
        <w:rFonts w:ascii="Symbol" w:hAnsi="Symbol" w:hint="default"/>
      </w:rPr>
    </w:lvl>
    <w:lvl w:ilvl="7" w:tplc="04090003" w:tentative="1">
      <w:start w:val="1"/>
      <w:numFmt w:val="bullet"/>
      <w:lvlText w:val="o"/>
      <w:lvlJc w:val="left"/>
      <w:pPr>
        <w:ind w:left="7410" w:hanging="360"/>
      </w:pPr>
      <w:rPr>
        <w:rFonts w:ascii="Courier New" w:hAnsi="Courier New" w:cs="Courier New" w:hint="default"/>
      </w:rPr>
    </w:lvl>
    <w:lvl w:ilvl="8" w:tplc="04090005" w:tentative="1">
      <w:start w:val="1"/>
      <w:numFmt w:val="bullet"/>
      <w:lvlText w:val=""/>
      <w:lvlJc w:val="left"/>
      <w:pPr>
        <w:ind w:left="8130" w:hanging="360"/>
      </w:pPr>
      <w:rPr>
        <w:rFonts w:ascii="Wingdings" w:hAnsi="Wingdings" w:hint="default"/>
      </w:rPr>
    </w:lvl>
  </w:abstractNum>
  <w:abstractNum w:abstractNumId="17" w15:restartNumberingAfterBreak="0">
    <w:nsid w:val="58711DF1"/>
    <w:multiLevelType w:val="hybridMultilevel"/>
    <w:tmpl w:val="A684C106"/>
    <w:lvl w:ilvl="0" w:tplc="44AE33BA">
      <w:start w:val="1"/>
      <w:numFmt w:val="bullet"/>
      <w:lvlText w:val="–"/>
      <w:lvlJc w:val="left"/>
      <w:pPr>
        <w:ind w:left="1440" w:hanging="360"/>
      </w:pPr>
      <w:rPr>
        <w:rFonts w:ascii="Arial" w:hAnsi="Arial" w:hint="default"/>
        <w:color w:val="173845"/>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5AD0190E"/>
    <w:multiLevelType w:val="hybridMultilevel"/>
    <w:tmpl w:val="3196B9D8"/>
    <w:lvl w:ilvl="0" w:tplc="07E2A5BC">
      <w:start w:val="1"/>
      <w:numFmt w:val="lowerLetter"/>
      <w:pStyle w:val="AlphaBullet"/>
      <w:lvlText w:val="%1."/>
      <w:lvlJc w:val="left"/>
      <w:pPr>
        <w:ind w:left="720" w:hanging="360"/>
      </w:pPr>
      <w:rPr>
        <w:rFonts w:ascii="Arial" w:hAnsi="Arial" w:hint="default"/>
        <w:color w:val="auto"/>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B9C4C21"/>
    <w:multiLevelType w:val="hybridMultilevel"/>
    <w:tmpl w:val="0F381862"/>
    <w:lvl w:ilvl="0" w:tplc="D00CE5D6">
      <w:start w:val="1"/>
      <w:numFmt w:val="bullet"/>
      <w:pStyle w:val="Bullet"/>
      <w:lvlText w:val="•"/>
      <w:lvlJc w:val="left"/>
      <w:pPr>
        <w:ind w:left="360" w:hanging="360"/>
      </w:pPr>
      <w:rPr>
        <w:rFonts w:ascii="Arial" w:hAnsi="Arial" w:hint="default"/>
        <w:b w:val="0"/>
        <w:i w:val="0"/>
        <w:caps w:val="0"/>
        <w:strike w:val="0"/>
        <w:dstrike w:val="0"/>
        <w:vanish w:val="0"/>
        <w:color w:val="19105B" w:themeColor="background2"/>
        <w:sz w:val="22"/>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5E36199F"/>
    <w:multiLevelType w:val="hybridMultilevel"/>
    <w:tmpl w:val="48126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41E2FA1"/>
    <w:multiLevelType w:val="multilevel"/>
    <w:tmpl w:val="E60AB5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6191F58"/>
    <w:multiLevelType w:val="hybridMultilevel"/>
    <w:tmpl w:val="ACEC736E"/>
    <w:lvl w:ilvl="0" w:tplc="C9B6FC78">
      <w:start w:val="1"/>
      <w:numFmt w:val="bullet"/>
      <w:lvlText w:val="−"/>
      <w:lvlJc w:val="left"/>
      <w:pPr>
        <w:ind w:left="720" w:hanging="360"/>
      </w:pPr>
      <w:rPr>
        <w:rFonts w:ascii="Arial" w:hAnsi="Arial" w:hint="default"/>
        <w:b w:val="0"/>
        <w:i w:val="0"/>
        <w:color w:val="FF6196" w:themeColor="accent1"/>
        <w:sz w:val="2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717C6701"/>
    <w:multiLevelType w:val="hybridMultilevel"/>
    <w:tmpl w:val="AFE80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481497D"/>
    <w:multiLevelType w:val="multilevel"/>
    <w:tmpl w:val="451CA85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758365C4"/>
    <w:multiLevelType w:val="hybridMultilevel"/>
    <w:tmpl w:val="A9689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5D70A95"/>
    <w:multiLevelType w:val="hybridMultilevel"/>
    <w:tmpl w:val="371A6B3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7DD34D68"/>
    <w:multiLevelType w:val="multilevel"/>
    <w:tmpl w:val="F9A27180"/>
    <w:lvl w:ilvl="0">
      <w:start w:val="1"/>
      <w:numFmt w:val="decimal"/>
      <w:pStyle w:val="Listnumber1"/>
      <w:lvlText w:val="%1."/>
      <w:lvlJc w:val="left"/>
      <w:pPr>
        <w:ind w:left="360" w:hanging="360"/>
      </w:pPr>
    </w:lvl>
    <w:lvl w:ilvl="1">
      <w:start w:val="1"/>
      <w:numFmt w:val="decimal"/>
      <w:pStyle w:val="ListNumber21"/>
      <w:lvlText w:val="%1.%2."/>
      <w:lvlJc w:val="left"/>
      <w:pPr>
        <w:ind w:left="792" w:hanging="432"/>
      </w:pPr>
    </w:lvl>
    <w:lvl w:ilvl="2">
      <w:start w:val="1"/>
      <w:numFmt w:val="decimal"/>
      <w:pStyle w:val="ListNumber31"/>
      <w:lvlText w:val="%1.%2.%3."/>
      <w:lvlJc w:val="left"/>
      <w:pPr>
        <w:ind w:left="1224" w:hanging="504"/>
      </w:pPr>
    </w:lvl>
    <w:lvl w:ilvl="3">
      <w:start w:val="1"/>
      <w:numFmt w:val="decimal"/>
      <w:pStyle w:val="ListNumber41"/>
      <w:lvlText w:val="%1.%2.%3.%4."/>
      <w:lvlJc w:val="left"/>
      <w:pPr>
        <w:ind w:left="1925"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1295135">
    <w:abstractNumId w:val="14"/>
  </w:num>
  <w:num w:numId="2" w16cid:durableId="1436486968">
    <w:abstractNumId w:val="13"/>
  </w:num>
  <w:num w:numId="3" w16cid:durableId="302780341">
    <w:abstractNumId w:val="5"/>
  </w:num>
  <w:num w:numId="4" w16cid:durableId="914244388">
    <w:abstractNumId w:val="25"/>
  </w:num>
  <w:num w:numId="5" w16cid:durableId="1012419087">
    <w:abstractNumId w:val="2"/>
  </w:num>
  <w:num w:numId="6" w16cid:durableId="763378332">
    <w:abstractNumId w:val="26"/>
  </w:num>
  <w:num w:numId="7" w16cid:durableId="643239132">
    <w:abstractNumId w:val="10"/>
  </w:num>
  <w:num w:numId="8" w16cid:durableId="362707269">
    <w:abstractNumId w:val="3"/>
  </w:num>
  <w:num w:numId="9" w16cid:durableId="521361483">
    <w:abstractNumId w:val="20"/>
  </w:num>
  <w:num w:numId="10" w16cid:durableId="839076312">
    <w:abstractNumId w:val="23"/>
  </w:num>
  <w:num w:numId="11" w16cid:durableId="466900893">
    <w:abstractNumId w:val="7"/>
  </w:num>
  <w:num w:numId="12" w16cid:durableId="1397632547">
    <w:abstractNumId w:val="12"/>
  </w:num>
  <w:num w:numId="13" w16cid:durableId="1868104787">
    <w:abstractNumId w:val="17"/>
  </w:num>
  <w:num w:numId="14" w16cid:durableId="1130978338">
    <w:abstractNumId w:val="1"/>
  </w:num>
  <w:num w:numId="15" w16cid:durableId="1347826002">
    <w:abstractNumId w:val="21"/>
  </w:num>
  <w:num w:numId="16" w16cid:durableId="1871531083">
    <w:abstractNumId w:val="21"/>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1157" w:hanging="57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7" w16cid:durableId="1151480306">
    <w:abstractNumId w:val="18"/>
  </w:num>
  <w:num w:numId="18" w16cid:durableId="2016611217">
    <w:abstractNumId w:val="6"/>
  </w:num>
  <w:num w:numId="19" w16cid:durableId="1193227098">
    <w:abstractNumId w:val="18"/>
    <w:lvlOverride w:ilvl="0">
      <w:startOverride w:val="1"/>
    </w:lvlOverride>
  </w:num>
  <w:num w:numId="20" w16cid:durableId="1790473266">
    <w:abstractNumId w:val="18"/>
    <w:lvlOverride w:ilvl="0">
      <w:startOverride w:val="1"/>
    </w:lvlOverride>
  </w:num>
  <w:num w:numId="21" w16cid:durableId="878930019">
    <w:abstractNumId w:val="6"/>
    <w:lvlOverride w:ilvl="0">
      <w:startOverride w:val="1"/>
    </w:lvlOverride>
  </w:num>
  <w:num w:numId="22" w16cid:durableId="307829197">
    <w:abstractNumId w:val="6"/>
    <w:lvlOverride w:ilvl="0">
      <w:startOverride w:val="1"/>
    </w:lvlOverride>
  </w:num>
  <w:num w:numId="23" w16cid:durableId="1405105091">
    <w:abstractNumId w:val="6"/>
    <w:lvlOverride w:ilvl="0">
      <w:startOverride w:val="1"/>
    </w:lvlOverride>
  </w:num>
  <w:num w:numId="24" w16cid:durableId="1756587598">
    <w:abstractNumId w:val="6"/>
    <w:lvlOverride w:ilvl="0">
      <w:startOverride w:val="1"/>
    </w:lvlOverride>
  </w:num>
  <w:num w:numId="25" w16cid:durableId="1037196716">
    <w:abstractNumId w:val="6"/>
    <w:lvlOverride w:ilvl="0">
      <w:startOverride w:val="1"/>
    </w:lvlOverride>
  </w:num>
  <w:num w:numId="26" w16cid:durableId="670454377">
    <w:abstractNumId w:val="6"/>
    <w:lvlOverride w:ilvl="0">
      <w:startOverride w:val="1"/>
    </w:lvlOverride>
  </w:num>
  <w:num w:numId="27" w16cid:durableId="782921331">
    <w:abstractNumId w:val="6"/>
    <w:lvlOverride w:ilvl="0">
      <w:startOverride w:val="1"/>
    </w:lvlOverride>
  </w:num>
  <w:num w:numId="28" w16cid:durableId="1610821800">
    <w:abstractNumId w:val="9"/>
  </w:num>
  <w:num w:numId="29" w16cid:durableId="1551068610">
    <w:abstractNumId w:val="16"/>
  </w:num>
  <w:num w:numId="30" w16cid:durableId="2135443176">
    <w:abstractNumId w:val="24"/>
  </w:num>
  <w:num w:numId="31" w16cid:durableId="1470437840">
    <w:abstractNumId w:val="18"/>
    <w:lvlOverride w:ilvl="0">
      <w:startOverride w:val="1"/>
    </w:lvlOverride>
  </w:num>
  <w:num w:numId="32" w16cid:durableId="1999838971">
    <w:abstractNumId w:val="27"/>
  </w:num>
  <w:num w:numId="33" w16cid:durableId="1244681787">
    <w:abstractNumId w:val="27"/>
  </w:num>
  <w:num w:numId="34" w16cid:durableId="55781214">
    <w:abstractNumId w:val="8"/>
  </w:num>
  <w:num w:numId="35" w16cid:durableId="1704090152">
    <w:abstractNumId w:val="22"/>
  </w:num>
  <w:num w:numId="36" w16cid:durableId="516312228">
    <w:abstractNumId w:val="0"/>
  </w:num>
  <w:num w:numId="37" w16cid:durableId="575361827">
    <w:abstractNumId w:val="4"/>
  </w:num>
  <w:num w:numId="38" w16cid:durableId="1267998975">
    <w:abstractNumId w:val="19"/>
  </w:num>
  <w:num w:numId="39" w16cid:durableId="1821386693">
    <w:abstractNumId w:val="15"/>
  </w:num>
  <w:num w:numId="40" w16cid:durableId="127348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SortMethod w:val="0004"/>
  <w:defaultTabStop w:val="720"/>
  <w:drawingGridHorizontalSpacing w:val="110"/>
  <w:displayHorizontalDrawingGridEvery w:val="2"/>
  <w:characterSpacingControl w:val="doNotCompress"/>
  <w:updateFields w:val="true"/>
  <w:hdrShapeDefaults>
    <o:shapedefaults v:ext="edit" spidmax="2050">
      <o:colormru v:ext="edit" colors="#32819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99"/>
    <w:rsid w:val="000012C9"/>
    <w:rsid w:val="00006855"/>
    <w:rsid w:val="00010305"/>
    <w:rsid w:val="00013A16"/>
    <w:rsid w:val="00017730"/>
    <w:rsid w:val="00017C58"/>
    <w:rsid w:val="00024BDE"/>
    <w:rsid w:val="00026791"/>
    <w:rsid w:val="00027996"/>
    <w:rsid w:val="00027B97"/>
    <w:rsid w:val="000366A7"/>
    <w:rsid w:val="00037D5A"/>
    <w:rsid w:val="0004582E"/>
    <w:rsid w:val="00050575"/>
    <w:rsid w:val="00051F56"/>
    <w:rsid w:val="000604B8"/>
    <w:rsid w:val="00067F90"/>
    <w:rsid w:val="00076DBE"/>
    <w:rsid w:val="00080D61"/>
    <w:rsid w:val="00095ACC"/>
    <w:rsid w:val="00096B6D"/>
    <w:rsid w:val="000A0772"/>
    <w:rsid w:val="000B4915"/>
    <w:rsid w:val="000C1EE5"/>
    <w:rsid w:val="000C717F"/>
    <w:rsid w:val="000D5FF5"/>
    <w:rsid w:val="000E1D9F"/>
    <w:rsid w:val="000F083F"/>
    <w:rsid w:val="000F0B93"/>
    <w:rsid w:val="000F1FD4"/>
    <w:rsid w:val="00100BC4"/>
    <w:rsid w:val="00100EEA"/>
    <w:rsid w:val="00101656"/>
    <w:rsid w:val="0010771F"/>
    <w:rsid w:val="001150A6"/>
    <w:rsid w:val="00124F15"/>
    <w:rsid w:val="00127342"/>
    <w:rsid w:val="001279C3"/>
    <w:rsid w:val="00132FB5"/>
    <w:rsid w:val="00136E32"/>
    <w:rsid w:val="0014604E"/>
    <w:rsid w:val="001473DB"/>
    <w:rsid w:val="00150C03"/>
    <w:rsid w:val="00152A3D"/>
    <w:rsid w:val="00153395"/>
    <w:rsid w:val="00153A6E"/>
    <w:rsid w:val="00160303"/>
    <w:rsid w:val="0017231B"/>
    <w:rsid w:val="00187DB6"/>
    <w:rsid w:val="00192E53"/>
    <w:rsid w:val="00193D1A"/>
    <w:rsid w:val="001A090A"/>
    <w:rsid w:val="001A12B5"/>
    <w:rsid w:val="001A29C2"/>
    <w:rsid w:val="001A4912"/>
    <w:rsid w:val="001A6E47"/>
    <w:rsid w:val="001B52D9"/>
    <w:rsid w:val="001D0567"/>
    <w:rsid w:val="001D19D4"/>
    <w:rsid w:val="001D615C"/>
    <w:rsid w:val="001E1099"/>
    <w:rsid w:val="001E266D"/>
    <w:rsid w:val="001E34CD"/>
    <w:rsid w:val="001E44B7"/>
    <w:rsid w:val="001F06B2"/>
    <w:rsid w:val="001F680C"/>
    <w:rsid w:val="001F68F3"/>
    <w:rsid w:val="0020176B"/>
    <w:rsid w:val="00202225"/>
    <w:rsid w:val="002038B5"/>
    <w:rsid w:val="00206242"/>
    <w:rsid w:val="00206FAA"/>
    <w:rsid w:val="00207EAC"/>
    <w:rsid w:val="00212116"/>
    <w:rsid w:val="00220817"/>
    <w:rsid w:val="00220BC4"/>
    <w:rsid w:val="002233E8"/>
    <w:rsid w:val="00223491"/>
    <w:rsid w:val="0022451F"/>
    <w:rsid w:val="002329F8"/>
    <w:rsid w:val="00233EF0"/>
    <w:rsid w:val="002351A6"/>
    <w:rsid w:val="00237FF9"/>
    <w:rsid w:val="002400E3"/>
    <w:rsid w:val="002420C4"/>
    <w:rsid w:val="00244056"/>
    <w:rsid w:val="002452C1"/>
    <w:rsid w:val="0024767D"/>
    <w:rsid w:val="00261EDD"/>
    <w:rsid w:val="002645D1"/>
    <w:rsid w:val="00264D04"/>
    <w:rsid w:val="00273FD2"/>
    <w:rsid w:val="002758BF"/>
    <w:rsid w:val="00281AE8"/>
    <w:rsid w:val="002831C4"/>
    <w:rsid w:val="002833B3"/>
    <w:rsid w:val="00283494"/>
    <w:rsid w:val="00285BF4"/>
    <w:rsid w:val="002918C0"/>
    <w:rsid w:val="0029351D"/>
    <w:rsid w:val="00294EFC"/>
    <w:rsid w:val="002A2793"/>
    <w:rsid w:val="002C347A"/>
    <w:rsid w:val="002C4433"/>
    <w:rsid w:val="002D2C0C"/>
    <w:rsid w:val="002D3272"/>
    <w:rsid w:val="002D40EA"/>
    <w:rsid w:val="002D585C"/>
    <w:rsid w:val="002D5EA8"/>
    <w:rsid w:val="002D64D6"/>
    <w:rsid w:val="002E4A94"/>
    <w:rsid w:val="0030278A"/>
    <w:rsid w:val="00310E53"/>
    <w:rsid w:val="00312E03"/>
    <w:rsid w:val="00320013"/>
    <w:rsid w:val="003260A4"/>
    <w:rsid w:val="00332D23"/>
    <w:rsid w:val="00334299"/>
    <w:rsid w:val="00341B86"/>
    <w:rsid w:val="00346BF1"/>
    <w:rsid w:val="00347635"/>
    <w:rsid w:val="00367C1B"/>
    <w:rsid w:val="00373210"/>
    <w:rsid w:val="00373262"/>
    <w:rsid w:val="00380790"/>
    <w:rsid w:val="003869E9"/>
    <w:rsid w:val="00395D9A"/>
    <w:rsid w:val="003B669D"/>
    <w:rsid w:val="003B68B7"/>
    <w:rsid w:val="003C39D8"/>
    <w:rsid w:val="003C3EBB"/>
    <w:rsid w:val="003C703E"/>
    <w:rsid w:val="003C744B"/>
    <w:rsid w:val="003C76D1"/>
    <w:rsid w:val="003D2CB5"/>
    <w:rsid w:val="003D3152"/>
    <w:rsid w:val="003E0A73"/>
    <w:rsid w:val="003E5456"/>
    <w:rsid w:val="003E5AA0"/>
    <w:rsid w:val="00404BFB"/>
    <w:rsid w:val="00406D9D"/>
    <w:rsid w:val="00410008"/>
    <w:rsid w:val="00411F6B"/>
    <w:rsid w:val="00413698"/>
    <w:rsid w:val="004147A2"/>
    <w:rsid w:val="0041663A"/>
    <w:rsid w:val="004237BA"/>
    <w:rsid w:val="00424758"/>
    <w:rsid w:val="004308F0"/>
    <w:rsid w:val="00435B51"/>
    <w:rsid w:val="00436362"/>
    <w:rsid w:val="004406CA"/>
    <w:rsid w:val="00445DBB"/>
    <w:rsid w:val="0045168E"/>
    <w:rsid w:val="004573D3"/>
    <w:rsid w:val="00464231"/>
    <w:rsid w:val="00464307"/>
    <w:rsid w:val="00474786"/>
    <w:rsid w:val="00477612"/>
    <w:rsid w:val="0048440A"/>
    <w:rsid w:val="00492997"/>
    <w:rsid w:val="00493BA4"/>
    <w:rsid w:val="004A2B47"/>
    <w:rsid w:val="004A6A86"/>
    <w:rsid w:val="004B029B"/>
    <w:rsid w:val="004B247A"/>
    <w:rsid w:val="004B2D1D"/>
    <w:rsid w:val="004B324B"/>
    <w:rsid w:val="004B7C7F"/>
    <w:rsid w:val="004C03F5"/>
    <w:rsid w:val="004C60B6"/>
    <w:rsid w:val="004C70E8"/>
    <w:rsid w:val="004E193A"/>
    <w:rsid w:val="004E325F"/>
    <w:rsid w:val="004F2E08"/>
    <w:rsid w:val="004F2E4D"/>
    <w:rsid w:val="004F3B29"/>
    <w:rsid w:val="0050374C"/>
    <w:rsid w:val="005038F1"/>
    <w:rsid w:val="00504CA9"/>
    <w:rsid w:val="00510A6E"/>
    <w:rsid w:val="00510ABE"/>
    <w:rsid w:val="005126F2"/>
    <w:rsid w:val="00517C4F"/>
    <w:rsid w:val="00526E4C"/>
    <w:rsid w:val="0053038D"/>
    <w:rsid w:val="0053432F"/>
    <w:rsid w:val="005343BE"/>
    <w:rsid w:val="0053505C"/>
    <w:rsid w:val="00536653"/>
    <w:rsid w:val="00537E14"/>
    <w:rsid w:val="00541DE9"/>
    <w:rsid w:val="005537DF"/>
    <w:rsid w:val="00554B60"/>
    <w:rsid w:val="00560151"/>
    <w:rsid w:val="00561FAD"/>
    <w:rsid w:val="00562621"/>
    <w:rsid w:val="005742E9"/>
    <w:rsid w:val="00586673"/>
    <w:rsid w:val="00586C3D"/>
    <w:rsid w:val="005917C5"/>
    <w:rsid w:val="00597A8B"/>
    <w:rsid w:val="005A688D"/>
    <w:rsid w:val="005B2F19"/>
    <w:rsid w:val="005B3CAF"/>
    <w:rsid w:val="005B4899"/>
    <w:rsid w:val="005B5313"/>
    <w:rsid w:val="005B6B21"/>
    <w:rsid w:val="005D56FD"/>
    <w:rsid w:val="005D5AFE"/>
    <w:rsid w:val="005D6C7F"/>
    <w:rsid w:val="005E11CB"/>
    <w:rsid w:val="005F11AE"/>
    <w:rsid w:val="005F1EEB"/>
    <w:rsid w:val="005F35C4"/>
    <w:rsid w:val="005F3777"/>
    <w:rsid w:val="005F60C3"/>
    <w:rsid w:val="005F61B7"/>
    <w:rsid w:val="005F6665"/>
    <w:rsid w:val="005F698A"/>
    <w:rsid w:val="0061085F"/>
    <w:rsid w:val="006163AB"/>
    <w:rsid w:val="00621334"/>
    <w:rsid w:val="00626769"/>
    <w:rsid w:val="006329AB"/>
    <w:rsid w:val="006400BD"/>
    <w:rsid w:val="00641A00"/>
    <w:rsid w:val="00641AE7"/>
    <w:rsid w:val="00644667"/>
    <w:rsid w:val="00652E4B"/>
    <w:rsid w:val="006603D6"/>
    <w:rsid w:val="00670580"/>
    <w:rsid w:val="00673FE6"/>
    <w:rsid w:val="0068337C"/>
    <w:rsid w:val="006874B0"/>
    <w:rsid w:val="0069079D"/>
    <w:rsid w:val="006909DB"/>
    <w:rsid w:val="006956E4"/>
    <w:rsid w:val="00695955"/>
    <w:rsid w:val="00696EB9"/>
    <w:rsid w:val="006A79BF"/>
    <w:rsid w:val="006B1907"/>
    <w:rsid w:val="006C1C0E"/>
    <w:rsid w:val="006C2574"/>
    <w:rsid w:val="006C4341"/>
    <w:rsid w:val="006C584A"/>
    <w:rsid w:val="006D309F"/>
    <w:rsid w:val="006D38CD"/>
    <w:rsid w:val="006D6010"/>
    <w:rsid w:val="006E0297"/>
    <w:rsid w:val="006E31DE"/>
    <w:rsid w:val="006E3935"/>
    <w:rsid w:val="006E5880"/>
    <w:rsid w:val="006E5E1D"/>
    <w:rsid w:val="006F06D6"/>
    <w:rsid w:val="006F1E11"/>
    <w:rsid w:val="006F791C"/>
    <w:rsid w:val="00700C9A"/>
    <w:rsid w:val="00703F6A"/>
    <w:rsid w:val="00710609"/>
    <w:rsid w:val="00721016"/>
    <w:rsid w:val="007211FD"/>
    <w:rsid w:val="00723694"/>
    <w:rsid w:val="00724825"/>
    <w:rsid w:val="00725A0E"/>
    <w:rsid w:val="00733B9A"/>
    <w:rsid w:val="00745A61"/>
    <w:rsid w:val="0075557A"/>
    <w:rsid w:val="00756CED"/>
    <w:rsid w:val="0076060E"/>
    <w:rsid w:val="00760B9C"/>
    <w:rsid w:val="00760CC7"/>
    <w:rsid w:val="00761323"/>
    <w:rsid w:val="0076144D"/>
    <w:rsid w:val="0076643B"/>
    <w:rsid w:val="0076671F"/>
    <w:rsid w:val="00772F53"/>
    <w:rsid w:val="00774B5B"/>
    <w:rsid w:val="007825D4"/>
    <w:rsid w:val="007839CB"/>
    <w:rsid w:val="00785275"/>
    <w:rsid w:val="00785FBA"/>
    <w:rsid w:val="00787F39"/>
    <w:rsid w:val="00790AA7"/>
    <w:rsid w:val="00792538"/>
    <w:rsid w:val="00793A0C"/>
    <w:rsid w:val="00795015"/>
    <w:rsid w:val="007B3B09"/>
    <w:rsid w:val="007C05B7"/>
    <w:rsid w:val="007C0F56"/>
    <w:rsid w:val="007C2304"/>
    <w:rsid w:val="007C2358"/>
    <w:rsid w:val="007C2F92"/>
    <w:rsid w:val="007C6580"/>
    <w:rsid w:val="007E1D09"/>
    <w:rsid w:val="007E3114"/>
    <w:rsid w:val="007E74B3"/>
    <w:rsid w:val="007F471B"/>
    <w:rsid w:val="00803A9F"/>
    <w:rsid w:val="00810889"/>
    <w:rsid w:val="00827D5C"/>
    <w:rsid w:val="00831671"/>
    <w:rsid w:val="00836A0D"/>
    <w:rsid w:val="00841196"/>
    <w:rsid w:val="00842295"/>
    <w:rsid w:val="00842D24"/>
    <w:rsid w:val="00845383"/>
    <w:rsid w:val="008544D8"/>
    <w:rsid w:val="00856206"/>
    <w:rsid w:val="00856F15"/>
    <w:rsid w:val="00867CED"/>
    <w:rsid w:val="00870E3A"/>
    <w:rsid w:val="00874D71"/>
    <w:rsid w:val="00877192"/>
    <w:rsid w:val="00887EB8"/>
    <w:rsid w:val="008902AA"/>
    <w:rsid w:val="00893AD2"/>
    <w:rsid w:val="00893CB1"/>
    <w:rsid w:val="008B25C5"/>
    <w:rsid w:val="008B731C"/>
    <w:rsid w:val="008C1435"/>
    <w:rsid w:val="008C1E5F"/>
    <w:rsid w:val="008C66E7"/>
    <w:rsid w:val="008D2520"/>
    <w:rsid w:val="008D32C3"/>
    <w:rsid w:val="008E3722"/>
    <w:rsid w:val="008E3810"/>
    <w:rsid w:val="008E5578"/>
    <w:rsid w:val="00903EC4"/>
    <w:rsid w:val="0090718F"/>
    <w:rsid w:val="00911981"/>
    <w:rsid w:val="009135B0"/>
    <w:rsid w:val="009140E0"/>
    <w:rsid w:val="00917539"/>
    <w:rsid w:val="00922833"/>
    <w:rsid w:val="00934625"/>
    <w:rsid w:val="00941C80"/>
    <w:rsid w:val="0094588E"/>
    <w:rsid w:val="00947FE9"/>
    <w:rsid w:val="00956221"/>
    <w:rsid w:val="00956803"/>
    <w:rsid w:val="00966EBD"/>
    <w:rsid w:val="00981145"/>
    <w:rsid w:val="00982A4C"/>
    <w:rsid w:val="00983689"/>
    <w:rsid w:val="00995DF8"/>
    <w:rsid w:val="009A125B"/>
    <w:rsid w:val="009B20C0"/>
    <w:rsid w:val="009B593F"/>
    <w:rsid w:val="009C0D10"/>
    <w:rsid w:val="009C4F59"/>
    <w:rsid w:val="009C6548"/>
    <w:rsid w:val="009E189C"/>
    <w:rsid w:val="009E2A85"/>
    <w:rsid w:val="009E45BC"/>
    <w:rsid w:val="009E4B38"/>
    <w:rsid w:val="009F0E2C"/>
    <w:rsid w:val="00A0263A"/>
    <w:rsid w:val="00A16754"/>
    <w:rsid w:val="00A16888"/>
    <w:rsid w:val="00A264FD"/>
    <w:rsid w:val="00A32F42"/>
    <w:rsid w:val="00A417ED"/>
    <w:rsid w:val="00A51EF3"/>
    <w:rsid w:val="00A6391B"/>
    <w:rsid w:val="00A6523B"/>
    <w:rsid w:val="00A67C7D"/>
    <w:rsid w:val="00A75459"/>
    <w:rsid w:val="00A91AAB"/>
    <w:rsid w:val="00A92742"/>
    <w:rsid w:val="00A94744"/>
    <w:rsid w:val="00A95F40"/>
    <w:rsid w:val="00AA7A0B"/>
    <w:rsid w:val="00AB2B68"/>
    <w:rsid w:val="00AB534F"/>
    <w:rsid w:val="00AC4D99"/>
    <w:rsid w:val="00AD7262"/>
    <w:rsid w:val="00AE721A"/>
    <w:rsid w:val="00AF0B5D"/>
    <w:rsid w:val="00AF3D5C"/>
    <w:rsid w:val="00B024AB"/>
    <w:rsid w:val="00B044B1"/>
    <w:rsid w:val="00B06105"/>
    <w:rsid w:val="00B07A15"/>
    <w:rsid w:val="00B11326"/>
    <w:rsid w:val="00B17571"/>
    <w:rsid w:val="00B22416"/>
    <w:rsid w:val="00B24C90"/>
    <w:rsid w:val="00B349DB"/>
    <w:rsid w:val="00B34D91"/>
    <w:rsid w:val="00B40C93"/>
    <w:rsid w:val="00B46258"/>
    <w:rsid w:val="00B52A95"/>
    <w:rsid w:val="00B55780"/>
    <w:rsid w:val="00B602D6"/>
    <w:rsid w:val="00B73013"/>
    <w:rsid w:val="00B838D3"/>
    <w:rsid w:val="00B856E9"/>
    <w:rsid w:val="00B86189"/>
    <w:rsid w:val="00B863B7"/>
    <w:rsid w:val="00B966D2"/>
    <w:rsid w:val="00B97F3A"/>
    <w:rsid w:val="00BA2C30"/>
    <w:rsid w:val="00BB284D"/>
    <w:rsid w:val="00BB4709"/>
    <w:rsid w:val="00BB75F8"/>
    <w:rsid w:val="00BD45CF"/>
    <w:rsid w:val="00BD5C1B"/>
    <w:rsid w:val="00BE1DDA"/>
    <w:rsid w:val="00BE5A91"/>
    <w:rsid w:val="00BE5EFD"/>
    <w:rsid w:val="00BE6887"/>
    <w:rsid w:val="00BE72EA"/>
    <w:rsid w:val="00BF603A"/>
    <w:rsid w:val="00BF6B82"/>
    <w:rsid w:val="00BF7789"/>
    <w:rsid w:val="00C05D19"/>
    <w:rsid w:val="00C10A8A"/>
    <w:rsid w:val="00C14A33"/>
    <w:rsid w:val="00C23044"/>
    <w:rsid w:val="00C318E4"/>
    <w:rsid w:val="00C32C36"/>
    <w:rsid w:val="00C351BA"/>
    <w:rsid w:val="00C376D2"/>
    <w:rsid w:val="00C43806"/>
    <w:rsid w:val="00C46C09"/>
    <w:rsid w:val="00C4720D"/>
    <w:rsid w:val="00C514D5"/>
    <w:rsid w:val="00C54F14"/>
    <w:rsid w:val="00C55AF3"/>
    <w:rsid w:val="00C56D03"/>
    <w:rsid w:val="00C570AB"/>
    <w:rsid w:val="00C64F09"/>
    <w:rsid w:val="00C71D73"/>
    <w:rsid w:val="00C83D4A"/>
    <w:rsid w:val="00C93AF5"/>
    <w:rsid w:val="00CA3BDD"/>
    <w:rsid w:val="00CB0041"/>
    <w:rsid w:val="00CB4265"/>
    <w:rsid w:val="00CB4E9D"/>
    <w:rsid w:val="00CB5750"/>
    <w:rsid w:val="00CC04AE"/>
    <w:rsid w:val="00CC2824"/>
    <w:rsid w:val="00CC4050"/>
    <w:rsid w:val="00CC6317"/>
    <w:rsid w:val="00CD012C"/>
    <w:rsid w:val="00CD2E1C"/>
    <w:rsid w:val="00CE16F1"/>
    <w:rsid w:val="00CE3E13"/>
    <w:rsid w:val="00CE6F1D"/>
    <w:rsid w:val="00CE7398"/>
    <w:rsid w:val="00CE7A6F"/>
    <w:rsid w:val="00CF64BC"/>
    <w:rsid w:val="00CF7DC8"/>
    <w:rsid w:val="00CF7ED4"/>
    <w:rsid w:val="00D013D2"/>
    <w:rsid w:val="00D02985"/>
    <w:rsid w:val="00D0455F"/>
    <w:rsid w:val="00D07EAB"/>
    <w:rsid w:val="00D11313"/>
    <w:rsid w:val="00D27964"/>
    <w:rsid w:val="00D556C4"/>
    <w:rsid w:val="00D6795A"/>
    <w:rsid w:val="00D7690D"/>
    <w:rsid w:val="00D77ED2"/>
    <w:rsid w:val="00D814C0"/>
    <w:rsid w:val="00D8449F"/>
    <w:rsid w:val="00D930C2"/>
    <w:rsid w:val="00D96BF5"/>
    <w:rsid w:val="00DA191C"/>
    <w:rsid w:val="00DA194F"/>
    <w:rsid w:val="00DA6283"/>
    <w:rsid w:val="00DA6790"/>
    <w:rsid w:val="00DB02F5"/>
    <w:rsid w:val="00DB6FA9"/>
    <w:rsid w:val="00DC1D9E"/>
    <w:rsid w:val="00DC6333"/>
    <w:rsid w:val="00DD2CF9"/>
    <w:rsid w:val="00DD531A"/>
    <w:rsid w:val="00DE0317"/>
    <w:rsid w:val="00DE4567"/>
    <w:rsid w:val="00DE4661"/>
    <w:rsid w:val="00DE7C3D"/>
    <w:rsid w:val="00DF1E6D"/>
    <w:rsid w:val="00DF5B1D"/>
    <w:rsid w:val="00E00F6E"/>
    <w:rsid w:val="00E016D9"/>
    <w:rsid w:val="00E030EF"/>
    <w:rsid w:val="00E04266"/>
    <w:rsid w:val="00E04282"/>
    <w:rsid w:val="00E2070E"/>
    <w:rsid w:val="00E212BB"/>
    <w:rsid w:val="00E22CC7"/>
    <w:rsid w:val="00E2551F"/>
    <w:rsid w:val="00E2656D"/>
    <w:rsid w:val="00E279C3"/>
    <w:rsid w:val="00E31271"/>
    <w:rsid w:val="00E32A45"/>
    <w:rsid w:val="00E337B6"/>
    <w:rsid w:val="00E36B0D"/>
    <w:rsid w:val="00E41085"/>
    <w:rsid w:val="00E4779D"/>
    <w:rsid w:val="00E541AF"/>
    <w:rsid w:val="00E6109C"/>
    <w:rsid w:val="00E64AD3"/>
    <w:rsid w:val="00E717DE"/>
    <w:rsid w:val="00E722C0"/>
    <w:rsid w:val="00E72A6F"/>
    <w:rsid w:val="00E8059D"/>
    <w:rsid w:val="00E814CB"/>
    <w:rsid w:val="00E92297"/>
    <w:rsid w:val="00E92B02"/>
    <w:rsid w:val="00E94B07"/>
    <w:rsid w:val="00EA272B"/>
    <w:rsid w:val="00EA337B"/>
    <w:rsid w:val="00EA4364"/>
    <w:rsid w:val="00EA6294"/>
    <w:rsid w:val="00EB1652"/>
    <w:rsid w:val="00EB1ECE"/>
    <w:rsid w:val="00EB74F2"/>
    <w:rsid w:val="00EC3C1D"/>
    <w:rsid w:val="00ED7BC8"/>
    <w:rsid w:val="00EE678C"/>
    <w:rsid w:val="00EE75F3"/>
    <w:rsid w:val="00F01191"/>
    <w:rsid w:val="00F0527A"/>
    <w:rsid w:val="00F10CAA"/>
    <w:rsid w:val="00F11485"/>
    <w:rsid w:val="00F12323"/>
    <w:rsid w:val="00F12914"/>
    <w:rsid w:val="00F33399"/>
    <w:rsid w:val="00F3682C"/>
    <w:rsid w:val="00F4655D"/>
    <w:rsid w:val="00F529E0"/>
    <w:rsid w:val="00F5635B"/>
    <w:rsid w:val="00F564AA"/>
    <w:rsid w:val="00F56869"/>
    <w:rsid w:val="00F72375"/>
    <w:rsid w:val="00F75869"/>
    <w:rsid w:val="00F77E39"/>
    <w:rsid w:val="00F82C73"/>
    <w:rsid w:val="00F95EE3"/>
    <w:rsid w:val="00FB149F"/>
    <w:rsid w:val="00FB32C7"/>
    <w:rsid w:val="00FB5742"/>
    <w:rsid w:val="00FB77BB"/>
    <w:rsid w:val="00FC51DD"/>
    <w:rsid w:val="00FD18DB"/>
    <w:rsid w:val="00FD2638"/>
    <w:rsid w:val="00FD6669"/>
    <w:rsid w:val="00FF218D"/>
    <w:rsid w:val="00FF54F3"/>
    <w:rsid w:val="00FF7ECF"/>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32819f"/>
    </o:shapedefaults>
    <o:shapelayout v:ext="edit">
      <o:idmap v:ext="edit" data="2"/>
    </o:shapelayout>
  </w:shapeDefaults>
  <w:decimalSymbol w:val="."/>
  <w:listSeparator w:val=","/>
  <w14:docId w14:val="1FF7750D"/>
  <w15:docId w15:val="{599F3D08-E7AF-4E19-AAAD-F39771F1D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297"/>
    <w:pPr>
      <w:spacing w:after="120" w:line="276" w:lineRule="auto"/>
    </w:pPr>
    <w:rPr>
      <w:color w:val="1D1C1C"/>
      <w:sz w:val="20"/>
      <w:szCs w:val="20"/>
    </w:rPr>
  </w:style>
  <w:style w:type="paragraph" w:styleId="Heading1">
    <w:name w:val="heading 1"/>
    <w:basedOn w:val="Normal"/>
    <w:next w:val="Normal"/>
    <w:link w:val="Heading1Char"/>
    <w:uiPriority w:val="9"/>
    <w:qFormat/>
    <w:rsid w:val="00DE4661"/>
    <w:pPr>
      <w:keepNext/>
      <w:keepLines/>
      <w:numPr>
        <w:numId w:val="30"/>
      </w:numPr>
      <w:spacing w:before="240"/>
      <w:ind w:left="578" w:hanging="578"/>
      <w:outlineLvl w:val="0"/>
    </w:pPr>
    <w:rPr>
      <w:rFonts w:asciiTheme="majorHAnsi" w:eastAsiaTheme="majorEastAsia" w:hAnsiTheme="majorHAnsi" w:cstheme="majorBidi"/>
      <w:b/>
      <w:color w:val="19105B" w:themeColor="background2"/>
      <w:sz w:val="24"/>
      <w:szCs w:val="24"/>
    </w:rPr>
  </w:style>
  <w:style w:type="paragraph" w:styleId="Heading2">
    <w:name w:val="heading 2"/>
    <w:basedOn w:val="ListParagraph"/>
    <w:next w:val="Normal"/>
    <w:link w:val="Heading2Char"/>
    <w:unhideWhenUsed/>
    <w:qFormat/>
    <w:rsid w:val="00DE4661"/>
    <w:pPr>
      <w:keepNext/>
      <w:numPr>
        <w:ilvl w:val="1"/>
        <w:numId w:val="30"/>
      </w:numPr>
      <w:tabs>
        <w:tab w:val="left" w:pos="2834"/>
        <w:tab w:val="left" w:pos="5102"/>
        <w:tab w:val="left" w:pos="6803"/>
      </w:tabs>
      <w:spacing w:before="240" w:after="120"/>
      <w:ind w:left="578" w:hanging="578"/>
      <w:outlineLvl w:val="1"/>
    </w:pPr>
    <w:rPr>
      <w:rFonts w:ascii="Arial" w:eastAsia="Times New Roman" w:hAnsi="Arial" w:cs="Times New Roman"/>
      <w:b/>
      <w:color w:val="3411A3" w:themeColor="text2"/>
      <w:sz w:val="22"/>
    </w:rPr>
  </w:style>
  <w:style w:type="paragraph" w:styleId="Heading3">
    <w:name w:val="heading 3"/>
    <w:basedOn w:val="Normal"/>
    <w:next w:val="Normal"/>
    <w:link w:val="Heading3Char"/>
    <w:uiPriority w:val="9"/>
    <w:unhideWhenUsed/>
    <w:qFormat/>
    <w:rsid w:val="00C14A33"/>
    <w:pPr>
      <w:keepNext/>
      <w:keepLines/>
      <w:numPr>
        <w:ilvl w:val="2"/>
        <w:numId w:val="30"/>
      </w:numPr>
      <w:spacing w:line="259" w:lineRule="auto"/>
      <w:outlineLvl w:val="2"/>
    </w:pPr>
    <w:rPr>
      <w:rFonts w:asciiTheme="majorHAnsi" w:eastAsiaTheme="majorEastAsia" w:hAnsiTheme="majorHAnsi" w:cstheme="majorBidi"/>
      <w:b/>
      <w:color w:val="FF6196" w:themeColor="accent1"/>
      <w:sz w:val="22"/>
    </w:rPr>
  </w:style>
  <w:style w:type="paragraph" w:styleId="Heading4">
    <w:name w:val="heading 4"/>
    <w:basedOn w:val="Normal"/>
    <w:next w:val="Normal"/>
    <w:link w:val="Heading4Char"/>
    <w:uiPriority w:val="9"/>
    <w:unhideWhenUsed/>
    <w:qFormat/>
    <w:rsid w:val="00CF64BC"/>
    <w:pPr>
      <w:keepNext/>
      <w:keepLines/>
      <w:numPr>
        <w:ilvl w:val="3"/>
        <w:numId w:val="30"/>
      </w:numPr>
      <w:spacing w:before="40" w:after="0"/>
      <w:ind w:left="862" w:hanging="862"/>
      <w:outlineLvl w:val="3"/>
    </w:pPr>
    <w:rPr>
      <w:rFonts w:asciiTheme="majorHAnsi" w:eastAsiaTheme="majorEastAsia" w:hAnsiTheme="majorHAnsi" w:cstheme="majorBidi"/>
      <w:i/>
      <w:iCs/>
      <w:color w:val="1D1C1C" w:themeColor="text1"/>
    </w:rPr>
  </w:style>
  <w:style w:type="paragraph" w:styleId="Heading5">
    <w:name w:val="heading 5"/>
    <w:basedOn w:val="Normal"/>
    <w:next w:val="Normal"/>
    <w:link w:val="Heading5Char"/>
    <w:uiPriority w:val="9"/>
    <w:unhideWhenUsed/>
    <w:qFormat/>
    <w:rsid w:val="00B11326"/>
    <w:pPr>
      <w:keepNext/>
      <w:keepLines/>
      <w:numPr>
        <w:ilvl w:val="4"/>
        <w:numId w:val="30"/>
      </w:numPr>
      <w:spacing w:before="40" w:after="0"/>
      <w:outlineLvl w:val="4"/>
    </w:pPr>
    <w:rPr>
      <w:rFonts w:asciiTheme="majorHAnsi" w:eastAsiaTheme="majorEastAsia" w:hAnsiTheme="majorHAnsi" w:cstheme="majorBidi"/>
      <w:color w:val="1D1C1C" w:themeColor="text1"/>
    </w:rPr>
  </w:style>
  <w:style w:type="paragraph" w:styleId="Heading6">
    <w:name w:val="heading 6"/>
    <w:basedOn w:val="Normal"/>
    <w:next w:val="Normal"/>
    <w:link w:val="Heading6Char"/>
    <w:uiPriority w:val="9"/>
    <w:unhideWhenUsed/>
    <w:qFormat/>
    <w:rsid w:val="00B11326"/>
    <w:pPr>
      <w:keepNext/>
      <w:keepLines/>
      <w:numPr>
        <w:ilvl w:val="5"/>
        <w:numId w:val="30"/>
      </w:numPr>
      <w:spacing w:before="40" w:after="0"/>
      <w:outlineLvl w:val="5"/>
    </w:pPr>
    <w:rPr>
      <w:rFonts w:asciiTheme="majorHAnsi" w:eastAsiaTheme="majorEastAsia" w:hAnsiTheme="majorHAnsi" w:cstheme="majorBidi"/>
      <w:color w:val="1D1C1C" w:themeColor="text1"/>
    </w:rPr>
  </w:style>
  <w:style w:type="paragraph" w:styleId="Heading7">
    <w:name w:val="heading 7"/>
    <w:basedOn w:val="Normal"/>
    <w:next w:val="Normal"/>
    <w:link w:val="Heading7Char"/>
    <w:uiPriority w:val="9"/>
    <w:unhideWhenUsed/>
    <w:qFormat/>
    <w:rsid w:val="00B11326"/>
    <w:pPr>
      <w:keepNext/>
      <w:keepLines/>
      <w:numPr>
        <w:ilvl w:val="6"/>
        <w:numId w:val="30"/>
      </w:numPr>
      <w:spacing w:before="40" w:after="0"/>
      <w:outlineLvl w:val="6"/>
    </w:pPr>
    <w:rPr>
      <w:rFonts w:asciiTheme="majorHAnsi" w:eastAsiaTheme="majorEastAsia" w:hAnsiTheme="majorHAnsi" w:cstheme="majorBidi"/>
      <w:i/>
      <w:iCs/>
      <w:color w:val="1D1C1C" w:themeColor="text1"/>
    </w:rPr>
  </w:style>
  <w:style w:type="paragraph" w:styleId="Heading8">
    <w:name w:val="heading 8"/>
    <w:basedOn w:val="Normal"/>
    <w:next w:val="Normal"/>
    <w:link w:val="Heading8Char"/>
    <w:uiPriority w:val="9"/>
    <w:unhideWhenUsed/>
    <w:qFormat/>
    <w:rsid w:val="00D930C2"/>
    <w:pPr>
      <w:keepNext/>
      <w:keepLines/>
      <w:numPr>
        <w:ilvl w:val="7"/>
        <w:numId w:val="30"/>
      </w:numPr>
      <w:spacing w:before="40" w:after="0"/>
      <w:outlineLvl w:val="7"/>
    </w:pPr>
    <w:rPr>
      <w:rFonts w:asciiTheme="majorHAnsi" w:eastAsiaTheme="majorEastAsia" w:hAnsiTheme="majorHAnsi" w:cstheme="majorBidi"/>
      <w:color w:val="403E3E" w:themeColor="text1" w:themeTint="D8"/>
    </w:rPr>
  </w:style>
  <w:style w:type="paragraph" w:styleId="Heading9">
    <w:name w:val="heading 9"/>
    <w:basedOn w:val="Normal"/>
    <w:next w:val="Normal"/>
    <w:link w:val="Heading9Char"/>
    <w:uiPriority w:val="9"/>
    <w:unhideWhenUsed/>
    <w:qFormat/>
    <w:rsid w:val="00D930C2"/>
    <w:pPr>
      <w:keepNext/>
      <w:keepLines/>
      <w:numPr>
        <w:ilvl w:val="8"/>
        <w:numId w:val="30"/>
      </w:numPr>
      <w:spacing w:before="40" w:after="0"/>
      <w:outlineLvl w:val="8"/>
    </w:pPr>
    <w:rPr>
      <w:rFonts w:asciiTheme="majorHAnsi" w:eastAsiaTheme="majorEastAsia" w:hAnsiTheme="majorHAnsi" w:cstheme="majorBidi"/>
      <w:i/>
      <w:iCs/>
      <w:color w:val="403E3E"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5A91"/>
    <w:pPr>
      <w:tabs>
        <w:tab w:val="center" w:pos="4513"/>
        <w:tab w:val="right" w:pos="9026"/>
      </w:tabs>
      <w:spacing w:after="0" w:line="240" w:lineRule="auto"/>
    </w:pPr>
    <w:rPr>
      <w:color w:val="1D1C1C" w:themeColor="text1"/>
      <w:sz w:val="22"/>
    </w:rPr>
  </w:style>
  <w:style w:type="character" w:customStyle="1" w:styleId="HeaderChar">
    <w:name w:val="Header Char"/>
    <w:basedOn w:val="DefaultParagraphFont"/>
    <w:link w:val="Header"/>
    <w:uiPriority w:val="99"/>
    <w:rsid w:val="00BE5A91"/>
    <w:rPr>
      <w:color w:val="1D1C1C" w:themeColor="text1"/>
    </w:rPr>
  </w:style>
  <w:style w:type="paragraph" w:styleId="Footer">
    <w:name w:val="footer"/>
    <w:basedOn w:val="Normal"/>
    <w:link w:val="FooterChar"/>
    <w:uiPriority w:val="99"/>
    <w:unhideWhenUsed/>
    <w:rsid w:val="00076DBE"/>
    <w:pPr>
      <w:tabs>
        <w:tab w:val="center" w:pos="4513"/>
        <w:tab w:val="right" w:pos="9026"/>
      </w:tabs>
      <w:spacing w:after="0" w:line="240" w:lineRule="auto"/>
    </w:pPr>
    <w:rPr>
      <w:color w:val="1D1C1C" w:themeColor="text1"/>
    </w:rPr>
  </w:style>
  <w:style w:type="character" w:customStyle="1" w:styleId="FooterChar">
    <w:name w:val="Footer Char"/>
    <w:basedOn w:val="DefaultParagraphFont"/>
    <w:link w:val="Footer"/>
    <w:uiPriority w:val="99"/>
    <w:rsid w:val="00076DBE"/>
    <w:rPr>
      <w:color w:val="1D1C1C" w:themeColor="text1"/>
      <w:sz w:val="20"/>
    </w:rPr>
  </w:style>
  <w:style w:type="paragraph" w:styleId="BalloonText">
    <w:name w:val="Balloon Text"/>
    <w:basedOn w:val="Normal"/>
    <w:link w:val="BalloonTextChar"/>
    <w:uiPriority w:val="99"/>
    <w:semiHidden/>
    <w:unhideWhenUsed/>
    <w:rsid w:val="00332D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2D23"/>
    <w:rPr>
      <w:rFonts w:ascii="Tahoma" w:hAnsi="Tahoma" w:cs="Tahoma"/>
      <w:sz w:val="16"/>
      <w:szCs w:val="16"/>
    </w:rPr>
  </w:style>
  <w:style w:type="paragraph" w:styleId="NoSpacing">
    <w:name w:val="No Spacing"/>
    <w:link w:val="NoSpacingChar"/>
    <w:uiPriority w:val="1"/>
    <w:qFormat/>
    <w:rsid w:val="00785FBA"/>
    <w:pPr>
      <w:spacing w:after="0" w:line="240" w:lineRule="auto"/>
    </w:pPr>
    <w:rPr>
      <w:rFonts w:eastAsiaTheme="minorEastAsia"/>
      <w:color w:val="1D1C1C" w:themeColor="text1"/>
      <w:sz w:val="20"/>
      <w:szCs w:val="20"/>
      <w:lang w:val="en-US"/>
    </w:rPr>
  </w:style>
  <w:style w:type="character" w:customStyle="1" w:styleId="NoSpacingChar">
    <w:name w:val="No Spacing Char"/>
    <w:basedOn w:val="DefaultParagraphFont"/>
    <w:link w:val="NoSpacing"/>
    <w:uiPriority w:val="1"/>
    <w:rsid w:val="00785FBA"/>
    <w:rPr>
      <w:rFonts w:eastAsiaTheme="minorEastAsia"/>
      <w:color w:val="1D1C1C" w:themeColor="text1"/>
      <w:sz w:val="20"/>
      <w:szCs w:val="20"/>
      <w:lang w:val="en-US"/>
    </w:rPr>
  </w:style>
  <w:style w:type="character" w:customStyle="1" w:styleId="Heading1Char">
    <w:name w:val="Heading 1 Char"/>
    <w:basedOn w:val="DefaultParagraphFont"/>
    <w:link w:val="Heading1"/>
    <w:uiPriority w:val="9"/>
    <w:rsid w:val="00DE4661"/>
    <w:rPr>
      <w:rFonts w:asciiTheme="majorHAnsi" w:eastAsiaTheme="majorEastAsia" w:hAnsiTheme="majorHAnsi" w:cstheme="majorBidi"/>
      <w:b/>
      <w:color w:val="19105B" w:themeColor="background2"/>
      <w:sz w:val="24"/>
      <w:szCs w:val="24"/>
    </w:rPr>
  </w:style>
  <w:style w:type="character" w:styleId="BookTitle">
    <w:name w:val="Book Title"/>
    <w:basedOn w:val="DefaultParagraphFont"/>
    <w:uiPriority w:val="33"/>
    <w:qFormat/>
    <w:rsid w:val="0053505C"/>
    <w:rPr>
      <w:b/>
      <w:bCs/>
      <w:i/>
      <w:iCs/>
      <w:spacing w:val="5"/>
    </w:rPr>
  </w:style>
  <w:style w:type="character" w:customStyle="1" w:styleId="Heading2Char">
    <w:name w:val="Heading 2 Char"/>
    <w:basedOn w:val="DefaultParagraphFont"/>
    <w:link w:val="Heading2"/>
    <w:rsid w:val="00DE4661"/>
    <w:rPr>
      <w:rFonts w:ascii="Arial" w:eastAsia="Times New Roman" w:hAnsi="Arial" w:cs="Times New Roman"/>
      <w:b/>
      <w:color w:val="3411A3" w:themeColor="text2"/>
      <w:szCs w:val="20"/>
    </w:rPr>
  </w:style>
  <w:style w:type="paragraph" w:styleId="Title">
    <w:name w:val="Title"/>
    <w:basedOn w:val="Normal"/>
    <w:next w:val="Normal"/>
    <w:link w:val="TitleChar"/>
    <w:uiPriority w:val="10"/>
    <w:qFormat/>
    <w:rsid w:val="00076DBE"/>
    <w:pPr>
      <w:spacing w:after="0" w:line="240" w:lineRule="auto"/>
      <w:contextualSpacing/>
    </w:pPr>
    <w:rPr>
      <w:rFonts w:asciiTheme="majorHAnsi" w:eastAsiaTheme="majorEastAsia" w:hAnsiTheme="majorHAnsi" w:cstheme="majorBidi"/>
      <w:b/>
      <w:color w:val="3411A3" w:themeColor="text2"/>
      <w:spacing w:val="-10"/>
      <w:kern w:val="28"/>
      <w:sz w:val="40"/>
      <w:szCs w:val="56"/>
    </w:rPr>
  </w:style>
  <w:style w:type="character" w:customStyle="1" w:styleId="TitleChar">
    <w:name w:val="Title Char"/>
    <w:basedOn w:val="DefaultParagraphFont"/>
    <w:link w:val="Title"/>
    <w:uiPriority w:val="10"/>
    <w:rsid w:val="00076DBE"/>
    <w:rPr>
      <w:rFonts w:asciiTheme="majorHAnsi" w:eastAsiaTheme="majorEastAsia" w:hAnsiTheme="majorHAnsi" w:cstheme="majorBidi"/>
      <w:b/>
      <w:color w:val="3411A3" w:themeColor="text2"/>
      <w:spacing w:val="-10"/>
      <w:kern w:val="28"/>
      <w:sz w:val="40"/>
      <w:szCs w:val="56"/>
    </w:rPr>
  </w:style>
  <w:style w:type="paragraph" w:styleId="ListParagraph">
    <w:name w:val="List Paragraph"/>
    <w:basedOn w:val="Normal"/>
    <w:link w:val="ListParagraphChar"/>
    <w:uiPriority w:val="34"/>
    <w:qFormat/>
    <w:rsid w:val="007211FD"/>
    <w:pPr>
      <w:numPr>
        <w:numId w:val="12"/>
      </w:numPr>
      <w:spacing w:before="40" w:after="40"/>
      <w:ind w:left="924" w:hanging="357"/>
    </w:pPr>
  </w:style>
  <w:style w:type="paragraph" w:customStyle="1" w:styleId="SubBullet">
    <w:name w:val="Sub Bullet"/>
    <w:basedOn w:val="ListParagraph"/>
    <w:qFormat/>
    <w:rsid w:val="00CF64BC"/>
    <w:pPr>
      <w:numPr>
        <w:numId w:val="39"/>
      </w:numPr>
      <w:spacing w:before="0" w:after="120"/>
      <w:ind w:left="714" w:hanging="357"/>
      <w:contextualSpacing/>
    </w:pPr>
  </w:style>
  <w:style w:type="table" w:styleId="TableGrid">
    <w:name w:val="Table Grid"/>
    <w:basedOn w:val="TableNormal"/>
    <w:uiPriority w:val="39"/>
    <w:rsid w:val="001E44B7"/>
    <w:pPr>
      <w:spacing w:after="0" w:line="240" w:lineRule="auto"/>
    </w:pPr>
    <w:rPr>
      <w:sz w:val="20"/>
    </w:rPr>
    <w:tblPr>
      <w:tblStyleRowBandSize w:val="1"/>
      <w:tblBorders>
        <w:top w:val="single" w:sz="8" w:space="0" w:color="auto"/>
        <w:bottom w:val="single" w:sz="8" w:space="0" w:color="auto"/>
        <w:insideH w:val="single" w:sz="8" w:space="0" w:color="auto"/>
      </w:tblBorders>
    </w:tblPr>
    <w:tcPr>
      <w:shd w:val="clear" w:color="auto" w:fill="D1E8F1"/>
    </w:tcPr>
    <w:tblStylePr w:type="firstRow">
      <w:pPr>
        <w:jc w:val="center"/>
      </w:pPr>
      <w:rPr>
        <w:rFonts w:ascii="Arial" w:hAnsi="Arial"/>
        <w:b/>
        <w:i w:val="0"/>
        <w:color w:val="3B3838"/>
        <w:sz w:val="20"/>
      </w:rPr>
      <w:tblPr/>
      <w:tcPr>
        <w:tcBorders>
          <w:top w:val="single" w:sz="8" w:space="0" w:color="173845"/>
          <w:left w:val="nil"/>
          <w:bottom w:val="single" w:sz="8" w:space="0" w:color="173845"/>
          <w:right w:val="nil"/>
          <w:insideH w:val="nil"/>
          <w:insideV w:val="nil"/>
          <w:tl2br w:val="nil"/>
          <w:tr2bl w:val="nil"/>
        </w:tcBorders>
        <w:vAlign w:val="center"/>
      </w:tcPr>
    </w:tblStylePr>
    <w:tblStylePr w:type="lastRow">
      <w:rPr>
        <w:rFonts w:ascii="Arial" w:hAnsi="Arial"/>
        <w:b/>
        <w:i w:val="0"/>
        <w:color w:val="3B3838"/>
        <w:sz w:val="20"/>
      </w:rPr>
      <w:tblPr/>
      <w:tcPr>
        <w:tcBorders>
          <w:top w:val="single" w:sz="8" w:space="0" w:color="3411A3" w:themeColor="text2"/>
          <w:left w:val="nil"/>
          <w:bottom w:val="single" w:sz="8" w:space="0" w:color="3411A3" w:themeColor="text2"/>
          <w:right w:val="nil"/>
          <w:insideH w:val="nil"/>
          <w:insideV w:val="nil"/>
          <w:tl2br w:val="nil"/>
          <w:tr2bl w:val="nil"/>
        </w:tcBorders>
        <w:shd w:val="clear" w:color="auto" w:fill="FFFFFF" w:themeFill="background1"/>
      </w:tcPr>
    </w:tblStylePr>
    <w:tblStylePr w:type="band1Horz">
      <w:rPr>
        <w:rFonts w:ascii="Arial" w:hAnsi="Arial"/>
        <w:b w:val="0"/>
        <w:i w:val="0"/>
        <w:color w:val="3B3838"/>
        <w:sz w:val="20"/>
      </w:rPr>
      <w:tblPr/>
      <w:tcPr>
        <w:tcBorders>
          <w:top w:val="nil"/>
          <w:left w:val="nil"/>
          <w:bottom w:val="nil"/>
          <w:right w:val="nil"/>
          <w:insideH w:val="nil"/>
          <w:insideV w:val="nil"/>
          <w:tl2br w:val="nil"/>
          <w:tr2bl w:val="nil"/>
        </w:tcBorders>
        <w:shd w:val="clear" w:color="auto" w:fill="FFFFFF"/>
      </w:tcPr>
    </w:tblStylePr>
    <w:tblStylePr w:type="band2Horz">
      <w:rPr>
        <w:rFonts w:ascii="Arial" w:hAnsi="Arial"/>
        <w:b w:val="0"/>
        <w:i w:val="0"/>
        <w:color w:val="FFFFFF"/>
        <w:sz w:val="20"/>
      </w:rPr>
      <w:tblPr/>
      <w:tcPr>
        <w:tcBorders>
          <w:top w:val="nil"/>
          <w:left w:val="nil"/>
          <w:bottom w:val="nil"/>
          <w:right w:val="nil"/>
          <w:insideH w:val="nil"/>
          <w:insideV w:val="nil"/>
        </w:tcBorders>
        <w:shd w:val="clear" w:color="auto" w:fill="FFFFFF"/>
      </w:tcPr>
    </w:tblStylePr>
  </w:style>
  <w:style w:type="character" w:styleId="Hyperlink">
    <w:name w:val="Hyperlink"/>
    <w:basedOn w:val="DefaultParagraphFont"/>
    <w:uiPriority w:val="99"/>
    <w:unhideWhenUsed/>
    <w:rsid w:val="009F0E2C"/>
    <w:rPr>
      <w:color w:val="3411A3" w:themeColor="text2"/>
      <w:u w:val="single"/>
    </w:rPr>
  </w:style>
  <w:style w:type="paragraph" w:styleId="TOCHeading">
    <w:name w:val="TOC Heading"/>
    <w:basedOn w:val="Heading1"/>
    <w:next w:val="Normal"/>
    <w:uiPriority w:val="39"/>
    <w:unhideWhenUsed/>
    <w:qFormat/>
    <w:rsid w:val="00076DBE"/>
    <w:pPr>
      <w:numPr>
        <w:numId w:val="0"/>
      </w:numPr>
      <w:spacing w:line="259" w:lineRule="auto"/>
      <w:outlineLvl w:val="9"/>
    </w:pPr>
    <w:rPr>
      <w:sz w:val="32"/>
      <w:szCs w:val="32"/>
      <w:lang w:val="en-US"/>
    </w:rPr>
  </w:style>
  <w:style w:type="paragraph" w:styleId="TOC1">
    <w:name w:val="toc 1"/>
    <w:basedOn w:val="Normal"/>
    <w:next w:val="Normal"/>
    <w:autoRedefine/>
    <w:uiPriority w:val="39"/>
    <w:unhideWhenUsed/>
    <w:rsid w:val="00346BF1"/>
    <w:pPr>
      <w:tabs>
        <w:tab w:val="right" w:leader="dot" w:pos="9912"/>
      </w:tabs>
      <w:spacing w:after="100"/>
      <w:ind w:left="680" w:hanging="680"/>
    </w:pPr>
    <w:rPr>
      <w:b/>
      <w:noProof/>
      <w:color w:val="1D1C1C" w:themeColor="text1"/>
    </w:rPr>
  </w:style>
  <w:style w:type="paragraph" w:styleId="TOC2">
    <w:name w:val="toc 2"/>
    <w:basedOn w:val="Normal"/>
    <w:next w:val="Normal"/>
    <w:autoRedefine/>
    <w:uiPriority w:val="39"/>
    <w:unhideWhenUsed/>
    <w:rsid w:val="00346BF1"/>
    <w:pPr>
      <w:tabs>
        <w:tab w:val="right" w:leader="dot" w:pos="9912"/>
      </w:tabs>
      <w:spacing w:after="100"/>
      <w:ind w:left="680" w:hanging="680"/>
    </w:pPr>
    <w:rPr>
      <w:noProof/>
      <w:color w:val="1D1C1C" w:themeColor="text1"/>
    </w:rPr>
  </w:style>
  <w:style w:type="character" w:customStyle="1" w:styleId="Heading3Char">
    <w:name w:val="Heading 3 Char"/>
    <w:basedOn w:val="DefaultParagraphFont"/>
    <w:link w:val="Heading3"/>
    <w:uiPriority w:val="9"/>
    <w:rsid w:val="00C14A33"/>
    <w:rPr>
      <w:rFonts w:asciiTheme="majorHAnsi" w:eastAsiaTheme="majorEastAsia" w:hAnsiTheme="majorHAnsi" w:cstheme="majorBidi"/>
      <w:b/>
      <w:color w:val="FF6196" w:themeColor="accent1"/>
      <w:szCs w:val="20"/>
    </w:rPr>
  </w:style>
  <w:style w:type="paragraph" w:customStyle="1" w:styleId="AlphaBullet">
    <w:name w:val="Alpha Bullet"/>
    <w:basedOn w:val="Normal"/>
    <w:qFormat/>
    <w:rsid w:val="001A090A"/>
    <w:pPr>
      <w:numPr>
        <w:numId w:val="17"/>
      </w:numPr>
      <w:ind w:left="360"/>
      <w:contextualSpacing/>
    </w:pPr>
    <w:rPr>
      <w:color w:val="1D1C1C" w:themeColor="text1"/>
    </w:rPr>
  </w:style>
  <w:style w:type="paragraph" w:customStyle="1" w:styleId="NumberList">
    <w:name w:val="Number List"/>
    <w:basedOn w:val="AlphaBullet"/>
    <w:qFormat/>
    <w:rsid w:val="001A090A"/>
    <w:pPr>
      <w:numPr>
        <w:numId w:val="18"/>
      </w:numPr>
      <w:ind w:left="360"/>
    </w:pPr>
  </w:style>
  <w:style w:type="character" w:styleId="Strong">
    <w:name w:val="Strong"/>
    <w:basedOn w:val="DefaultParagraphFont"/>
    <w:uiPriority w:val="22"/>
    <w:qFormat/>
    <w:rsid w:val="00076DBE"/>
    <w:rPr>
      <w:b/>
      <w:bCs/>
      <w:color w:val="1D1C1C" w:themeColor="text1"/>
    </w:rPr>
  </w:style>
  <w:style w:type="paragraph" w:styleId="TOC3">
    <w:name w:val="toc 3"/>
    <w:basedOn w:val="Normal"/>
    <w:next w:val="Normal"/>
    <w:autoRedefine/>
    <w:uiPriority w:val="39"/>
    <w:unhideWhenUsed/>
    <w:rsid w:val="00346BF1"/>
    <w:pPr>
      <w:tabs>
        <w:tab w:val="left" w:pos="1100"/>
        <w:tab w:val="right" w:leader="dot" w:pos="9912"/>
      </w:tabs>
      <w:spacing w:after="100"/>
      <w:ind w:left="680" w:hanging="680"/>
    </w:pPr>
    <w:rPr>
      <w:color w:val="1D1C1C" w:themeColor="text1"/>
    </w:rPr>
  </w:style>
  <w:style w:type="character" w:styleId="CommentReference">
    <w:name w:val="annotation reference"/>
    <w:basedOn w:val="DefaultParagraphFont"/>
    <w:uiPriority w:val="99"/>
    <w:semiHidden/>
    <w:unhideWhenUsed/>
    <w:rsid w:val="00D07EAB"/>
    <w:rPr>
      <w:sz w:val="16"/>
      <w:szCs w:val="16"/>
    </w:rPr>
  </w:style>
  <w:style w:type="paragraph" w:styleId="CommentText">
    <w:name w:val="annotation text"/>
    <w:basedOn w:val="Normal"/>
    <w:link w:val="CommentTextChar"/>
    <w:uiPriority w:val="99"/>
    <w:semiHidden/>
    <w:unhideWhenUsed/>
    <w:rsid w:val="00D07EAB"/>
    <w:pPr>
      <w:spacing w:line="240" w:lineRule="auto"/>
    </w:pPr>
  </w:style>
  <w:style w:type="character" w:customStyle="1" w:styleId="CommentTextChar">
    <w:name w:val="Comment Text Char"/>
    <w:basedOn w:val="DefaultParagraphFont"/>
    <w:link w:val="CommentText"/>
    <w:uiPriority w:val="99"/>
    <w:semiHidden/>
    <w:rsid w:val="00D07EAB"/>
    <w:rPr>
      <w:sz w:val="20"/>
      <w:szCs w:val="20"/>
    </w:rPr>
  </w:style>
  <w:style w:type="paragraph" w:styleId="CommentSubject">
    <w:name w:val="annotation subject"/>
    <w:basedOn w:val="CommentText"/>
    <w:next w:val="CommentText"/>
    <w:link w:val="CommentSubjectChar"/>
    <w:uiPriority w:val="99"/>
    <w:semiHidden/>
    <w:unhideWhenUsed/>
    <w:rsid w:val="00D07EAB"/>
    <w:rPr>
      <w:b/>
      <w:bCs/>
    </w:rPr>
  </w:style>
  <w:style w:type="character" w:customStyle="1" w:styleId="CommentSubjectChar">
    <w:name w:val="Comment Subject Char"/>
    <w:basedOn w:val="CommentTextChar"/>
    <w:link w:val="CommentSubject"/>
    <w:uiPriority w:val="99"/>
    <w:semiHidden/>
    <w:rsid w:val="00D07EAB"/>
    <w:rPr>
      <w:b/>
      <w:bCs/>
      <w:sz w:val="20"/>
      <w:szCs w:val="20"/>
    </w:rPr>
  </w:style>
  <w:style w:type="paragraph" w:styleId="Revision">
    <w:name w:val="Revision"/>
    <w:hidden/>
    <w:uiPriority w:val="99"/>
    <w:semiHidden/>
    <w:rsid w:val="00D07EAB"/>
    <w:pPr>
      <w:spacing w:after="0" w:line="240" w:lineRule="auto"/>
    </w:pPr>
    <w:rPr>
      <w:sz w:val="20"/>
    </w:rPr>
  </w:style>
  <w:style w:type="paragraph" w:customStyle="1" w:styleId="Bullet">
    <w:name w:val="Bullet"/>
    <w:basedOn w:val="SubBullet"/>
    <w:qFormat/>
    <w:rsid w:val="00CF64BC"/>
    <w:pPr>
      <w:numPr>
        <w:numId w:val="38"/>
      </w:numPr>
      <w:spacing w:before="120"/>
      <w:ind w:left="357" w:hanging="357"/>
    </w:pPr>
  </w:style>
  <w:style w:type="paragraph" w:customStyle="1" w:styleId="Subsubbullet">
    <w:name w:val="Sub sub bullet"/>
    <w:basedOn w:val="SubBullet"/>
    <w:qFormat/>
    <w:rsid w:val="00CF64BC"/>
    <w:pPr>
      <w:numPr>
        <w:numId w:val="40"/>
      </w:numPr>
      <w:ind w:left="1071" w:hanging="357"/>
    </w:pPr>
  </w:style>
  <w:style w:type="table" w:styleId="TableGridLight">
    <w:name w:val="Grid Table Light"/>
    <w:basedOn w:val="TableNormal"/>
    <w:uiPriority w:val="40"/>
    <w:rsid w:val="00C93AF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rsid w:val="00CF64BC"/>
    <w:rPr>
      <w:rFonts w:asciiTheme="majorHAnsi" w:eastAsiaTheme="majorEastAsia" w:hAnsiTheme="majorHAnsi" w:cstheme="majorBidi"/>
      <w:i/>
      <w:iCs/>
      <w:color w:val="1D1C1C" w:themeColor="text1"/>
      <w:sz w:val="20"/>
      <w:szCs w:val="20"/>
    </w:rPr>
  </w:style>
  <w:style w:type="paragraph" w:styleId="Subtitle">
    <w:name w:val="Subtitle"/>
    <w:basedOn w:val="Normal"/>
    <w:next w:val="Normal"/>
    <w:link w:val="SubtitleChar"/>
    <w:uiPriority w:val="11"/>
    <w:qFormat/>
    <w:rsid w:val="00076DBE"/>
    <w:pPr>
      <w:numPr>
        <w:ilvl w:val="1"/>
      </w:numPr>
      <w:spacing w:after="160"/>
    </w:pPr>
    <w:rPr>
      <w:rFonts w:eastAsiaTheme="minorEastAsia"/>
      <w:color w:val="1D1C1C" w:themeColor="text1"/>
      <w:spacing w:val="15"/>
      <w:sz w:val="22"/>
    </w:rPr>
  </w:style>
  <w:style w:type="character" w:customStyle="1" w:styleId="SubtitleChar">
    <w:name w:val="Subtitle Char"/>
    <w:basedOn w:val="DefaultParagraphFont"/>
    <w:link w:val="Subtitle"/>
    <w:uiPriority w:val="11"/>
    <w:rsid w:val="00076DBE"/>
    <w:rPr>
      <w:rFonts w:eastAsiaTheme="minorEastAsia"/>
      <w:color w:val="1D1C1C" w:themeColor="text1"/>
      <w:spacing w:val="15"/>
    </w:rPr>
  </w:style>
  <w:style w:type="character" w:styleId="SubtleEmphasis">
    <w:name w:val="Subtle Emphasis"/>
    <w:basedOn w:val="DefaultParagraphFont"/>
    <w:uiPriority w:val="19"/>
    <w:qFormat/>
    <w:rsid w:val="00076DBE"/>
    <w:rPr>
      <w:i/>
      <w:iCs/>
      <w:color w:val="1D1C1C" w:themeColor="text1"/>
    </w:rPr>
  </w:style>
  <w:style w:type="character" w:styleId="Emphasis">
    <w:name w:val="Emphasis"/>
    <w:basedOn w:val="DefaultParagraphFont"/>
    <w:uiPriority w:val="20"/>
    <w:qFormat/>
    <w:rsid w:val="00076DBE"/>
    <w:rPr>
      <w:i/>
      <w:iCs/>
      <w:color w:val="1D1C1C" w:themeColor="text1"/>
    </w:rPr>
  </w:style>
  <w:style w:type="paragraph" w:styleId="Quote">
    <w:name w:val="Quote"/>
    <w:basedOn w:val="Normal"/>
    <w:next w:val="Normal"/>
    <w:link w:val="QuoteChar"/>
    <w:uiPriority w:val="29"/>
    <w:qFormat/>
    <w:rsid w:val="00076DBE"/>
    <w:pPr>
      <w:spacing w:before="200" w:after="160"/>
      <w:ind w:left="864" w:right="864"/>
      <w:jc w:val="center"/>
    </w:pPr>
    <w:rPr>
      <w:i/>
      <w:iCs/>
      <w:color w:val="1D1C1C" w:themeColor="text1"/>
    </w:rPr>
  </w:style>
  <w:style w:type="character" w:customStyle="1" w:styleId="QuoteChar">
    <w:name w:val="Quote Char"/>
    <w:basedOn w:val="DefaultParagraphFont"/>
    <w:link w:val="Quote"/>
    <w:uiPriority w:val="29"/>
    <w:rsid w:val="00076DBE"/>
    <w:rPr>
      <w:i/>
      <w:iCs/>
      <w:color w:val="1D1C1C" w:themeColor="text1"/>
      <w:sz w:val="20"/>
    </w:rPr>
  </w:style>
  <w:style w:type="paragraph" w:styleId="IntenseQuote">
    <w:name w:val="Intense Quote"/>
    <w:basedOn w:val="Normal"/>
    <w:next w:val="Normal"/>
    <w:link w:val="IntenseQuoteChar"/>
    <w:uiPriority w:val="30"/>
    <w:qFormat/>
    <w:rsid w:val="00076DBE"/>
    <w:pPr>
      <w:pBdr>
        <w:top w:val="single" w:sz="4" w:space="10" w:color="FF6196" w:themeColor="accent1"/>
        <w:bottom w:val="single" w:sz="4" w:space="10" w:color="FF6196" w:themeColor="accent1"/>
      </w:pBdr>
      <w:spacing w:before="360" w:after="360"/>
      <w:ind w:left="864" w:right="864"/>
      <w:jc w:val="center"/>
    </w:pPr>
    <w:rPr>
      <w:i/>
      <w:iCs/>
      <w:color w:val="FF6196" w:themeColor="accent1"/>
    </w:rPr>
  </w:style>
  <w:style w:type="character" w:customStyle="1" w:styleId="IntenseQuoteChar">
    <w:name w:val="Intense Quote Char"/>
    <w:basedOn w:val="DefaultParagraphFont"/>
    <w:link w:val="IntenseQuote"/>
    <w:uiPriority w:val="30"/>
    <w:rsid w:val="00076DBE"/>
    <w:rPr>
      <w:i/>
      <w:iCs/>
      <w:color w:val="FF6196" w:themeColor="accent1"/>
      <w:sz w:val="20"/>
    </w:rPr>
  </w:style>
  <w:style w:type="character" w:styleId="IntenseReference">
    <w:name w:val="Intense Reference"/>
    <w:basedOn w:val="DefaultParagraphFont"/>
    <w:uiPriority w:val="32"/>
    <w:qFormat/>
    <w:rsid w:val="00076DBE"/>
    <w:rPr>
      <w:b/>
      <w:bCs/>
      <w:smallCaps/>
      <w:color w:val="FF6196" w:themeColor="accent1"/>
      <w:spacing w:val="5"/>
    </w:rPr>
  </w:style>
  <w:style w:type="character" w:customStyle="1" w:styleId="Heading5Char">
    <w:name w:val="Heading 5 Char"/>
    <w:basedOn w:val="DefaultParagraphFont"/>
    <w:link w:val="Heading5"/>
    <w:uiPriority w:val="9"/>
    <w:rsid w:val="00B11326"/>
    <w:rPr>
      <w:rFonts w:asciiTheme="majorHAnsi" w:eastAsiaTheme="majorEastAsia" w:hAnsiTheme="majorHAnsi" w:cstheme="majorBidi"/>
      <w:color w:val="1D1C1C" w:themeColor="text1"/>
      <w:sz w:val="20"/>
      <w:szCs w:val="20"/>
    </w:rPr>
  </w:style>
  <w:style w:type="character" w:customStyle="1" w:styleId="Heading6Char">
    <w:name w:val="Heading 6 Char"/>
    <w:basedOn w:val="DefaultParagraphFont"/>
    <w:link w:val="Heading6"/>
    <w:uiPriority w:val="9"/>
    <w:rsid w:val="00B11326"/>
    <w:rPr>
      <w:rFonts w:asciiTheme="majorHAnsi" w:eastAsiaTheme="majorEastAsia" w:hAnsiTheme="majorHAnsi" w:cstheme="majorBidi"/>
      <w:color w:val="1D1C1C" w:themeColor="text1"/>
      <w:sz w:val="20"/>
      <w:szCs w:val="20"/>
    </w:rPr>
  </w:style>
  <w:style w:type="character" w:customStyle="1" w:styleId="Heading7Char">
    <w:name w:val="Heading 7 Char"/>
    <w:basedOn w:val="DefaultParagraphFont"/>
    <w:link w:val="Heading7"/>
    <w:uiPriority w:val="9"/>
    <w:rsid w:val="00B11326"/>
    <w:rPr>
      <w:rFonts w:asciiTheme="majorHAnsi" w:eastAsiaTheme="majorEastAsia" w:hAnsiTheme="majorHAnsi" w:cstheme="majorBidi"/>
      <w:i/>
      <w:iCs/>
      <w:color w:val="1D1C1C" w:themeColor="text1"/>
      <w:sz w:val="20"/>
      <w:szCs w:val="20"/>
    </w:rPr>
  </w:style>
  <w:style w:type="character" w:customStyle="1" w:styleId="Heading8Char">
    <w:name w:val="Heading 8 Char"/>
    <w:basedOn w:val="DefaultParagraphFont"/>
    <w:link w:val="Heading8"/>
    <w:uiPriority w:val="9"/>
    <w:rsid w:val="00D930C2"/>
    <w:rPr>
      <w:rFonts w:asciiTheme="majorHAnsi" w:eastAsiaTheme="majorEastAsia" w:hAnsiTheme="majorHAnsi" w:cstheme="majorBidi"/>
      <w:color w:val="403E3E" w:themeColor="text1" w:themeTint="D8"/>
      <w:sz w:val="20"/>
      <w:szCs w:val="20"/>
    </w:rPr>
  </w:style>
  <w:style w:type="character" w:customStyle="1" w:styleId="Heading9Char">
    <w:name w:val="Heading 9 Char"/>
    <w:basedOn w:val="DefaultParagraphFont"/>
    <w:link w:val="Heading9"/>
    <w:uiPriority w:val="9"/>
    <w:rsid w:val="00D930C2"/>
    <w:rPr>
      <w:rFonts w:asciiTheme="majorHAnsi" w:eastAsiaTheme="majorEastAsia" w:hAnsiTheme="majorHAnsi" w:cstheme="majorBidi"/>
      <w:i/>
      <w:iCs/>
      <w:color w:val="403E3E" w:themeColor="text1" w:themeTint="D8"/>
      <w:sz w:val="20"/>
      <w:szCs w:val="20"/>
    </w:rPr>
  </w:style>
  <w:style w:type="paragraph" w:customStyle="1" w:styleId="Listnumber1">
    <w:name w:val="List number 1"/>
    <w:basedOn w:val="ListParagraph"/>
    <w:link w:val="Listnumber1Char"/>
    <w:qFormat/>
    <w:rsid w:val="00CF64BC"/>
    <w:pPr>
      <w:numPr>
        <w:numId w:val="32"/>
      </w:numPr>
      <w:spacing w:before="0" w:after="120"/>
      <w:ind w:left="249" w:hanging="249"/>
      <w:contextualSpacing/>
    </w:pPr>
  </w:style>
  <w:style w:type="paragraph" w:customStyle="1" w:styleId="ListNumber21">
    <w:name w:val="List Number 21"/>
    <w:basedOn w:val="ListParagraph"/>
    <w:link w:val="Listnumber2Char"/>
    <w:qFormat/>
    <w:rsid w:val="00CF64BC"/>
    <w:pPr>
      <w:numPr>
        <w:ilvl w:val="1"/>
        <w:numId w:val="32"/>
      </w:numPr>
      <w:spacing w:before="0" w:after="120"/>
      <w:ind w:left="448" w:hanging="448"/>
      <w:contextualSpacing/>
    </w:pPr>
  </w:style>
  <w:style w:type="character" w:customStyle="1" w:styleId="ListParagraphChar">
    <w:name w:val="List Paragraph Char"/>
    <w:basedOn w:val="DefaultParagraphFont"/>
    <w:link w:val="ListParagraph"/>
    <w:uiPriority w:val="34"/>
    <w:rsid w:val="00A6523B"/>
    <w:rPr>
      <w:color w:val="3B3838"/>
      <w:sz w:val="20"/>
    </w:rPr>
  </w:style>
  <w:style w:type="character" w:customStyle="1" w:styleId="Listnumber1Char">
    <w:name w:val="List number 1 Char"/>
    <w:basedOn w:val="ListParagraphChar"/>
    <w:link w:val="Listnumber1"/>
    <w:rsid w:val="00CF64BC"/>
    <w:rPr>
      <w:color w:val="1D1C1C"/>
      <w:sz w:val="20"/>
      <w:szCs w:val="20"/>
    </w:rPr>
  </w:style>
  <w:style w:type="paragraph" w:customStyle="1" w:styleId="ListNumber31">
    <w:name w:val="List Number 31"/>
    <w:basedOn w:val="ListParagraph"/>
    <w:link w:val="Listnumber3Char"/>
    <w:qFormat/>
    <w:rsid w:val="00785FBA"/>
    <w:pPr>
      <w:numPr>
        <w:ilvl w:val="2"/>
        <w:numId w:val="32"/>
      </w:numPr>
      <w:spacing w:before="0" w:after="120"/>
      <w:ind w:left="644" w:hanging="644"/>
      <w:contextualSpacing/>
    </w:pPr>
  </w:style>
  <w:style w:type="character" w:customStyle="1" w:styleId="Listnumber2Char">
    <w:name w:val="List number 2 Char"/>
    <w:basedOn w:val="ListParagraphChar"/>
    <w:link w:val="ListNumber21"/>
    <w:rsid w:val="00CF64BC"/>
    <w:rPr>
      <w:color w:val="1D1C1C"/>
      <w:sz w:val="20"/>
      <w:szCs w:val="20"/>
    </w:rPr>
  </w:style>
  <w:style w:type="paragraph" w:customStyle="1" w:styleId="ListNumber41">
    <w:name w:val="List Number 41"/>
    <w:basedOn w:val="ListParagraph"/>
    <w:link w:val="Listnumber4Char"/>
    <w:qFormat/>
    <w:rsid w:val="00785FBA"/>
    <w:pPr>
      <w:numPr>
        <w:ilvl w:val="3"/>
        <w:numId w:val="32"/>
      </w:numPr>
      <w:spacing w:before="0" w:after="120"/>
      <w:ind w:left="854" w:hanging="854"/>
      <w:contextualSpacing/>
    </w:pPr>
  </w:style>
  <w:style w:type="character" w:customStyle="1" w:styleId="Listnumber3Char">
    <w:name w:val="List number 3 Char"/>
    <w:basedOn w:val="ListParagraphChar"/>
    <w:link w:val="ListNumber31"/>
    <w:rsid w:val="00785FBA"/>
    <w:rPr>
      <w:color w:val="1D1C1C"/>
      <w:sz w:val="20"/>
      <w:szCs w:val="20"/>
    </w:rPr>
  </w:style>
  <w:style w:type="character" w:customStyle="1" w:styleId="Listnumber4Char">
    <w:name w:val="List number 4 Char"/>
    <w:basedOn w:val="ListParagraphChar"/>
    <w:link w:val="ListNumber41"/>
    <w:rsid w:val="00785FBA"/>
    <w:rPr>
      <w:color w:val="1D1C1C"/>
      <w:sz w:val="20"/>
      <w:szCs w:val="20"/>
    </w:rPr>
  </w:style>
  <w:style w:type="character" w:styleId="PlaceholderText">
    <w:name w:val="Placeholder Text"/>
    <w:basedOn w:val="DefaultParagraphFont"/>
    <w:uiPriority w:val="99"/>
    <w:semiHidden/>
    <w:rsid w:val="00922833"/>
    <w:rPr>
      <w:color w:val="808080"/>
    </w:rPr>
  </w:style>
  <w:style w:type="table" w:styleId="ListTable3-Accent1">
    <w:name w:val="List Table 3 Accent 1"/>
    <w:basedOn w:val="TableNormal"/>
    <w:uiPriority w:val="48"/>
    <w:rsid w:val="00050575"/>
    <w:pPr>
      <w:spacing w:after="120" w:line="276" w:lineRule="auto"/>
    </w:pPr>
    <w:tblPr>
      <w:tblStyleRowBandSize w:val="1"/>
      <w:tblStyleColBandSize w:val="1"/>
      <w:tblInd w:w="0" w:type="nil"/>
      <w:tblBorders>
        <w:bottom w:val="single" w:sz="8" w:space="0" w:color="26D4F0" w:themeColor="accent3"/>
        <w:insideH w:val="single" w:sz="8" w:space="0" w:color="26D4F0" w:themeColor="accent3"/>
      </w:tblBorders>
    </w:tblPr>
    <w:tblStylePr w:type="firstRow">
      <w:pPr>
        <w:wordWrap/>
        <w:spacing w:beforeLines="0" w:before="0" w:beforeAutospacing="0" w:afterLines="0" w:after="0" w:afterAutospacing="0" w:line="240" w:lineRule="auto"/>
        <w:jc w:val="left"/>
      </w:pPr>
      <w:rPr>
        <w:b/>
        <w:bCs/>
        <w:color w:val="FFFFFF" w:themeColor="background1"/>
      </w:rPr>
      <w:tblPr/>
      <w:tcPr>
        <w:tcBorders>
          <w:bottom w:val="nil"/>
        </w:tcBorders>
        <w:shd w:val="clear" w:color="auto" w:fill="FF6196" w:themeFill="accent1"/>
        <w:vAlign w:val="center"/>
      </w:tcPr>
    </w:tblStylePr>
    <w:tblStylePr w:type="lastRow">
      <w:rPr>
        <w:b/>
        <w:bCs/>
      </w:rPr>
      <w:tblPr/>
      <w:tcPr>
        <w:tcBorders>
          <w:top w:val="double" w:sz="4" w:space="0" w:color="FF619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6196" w:themeColor="accent1"/>
          <w:right w:val="single" w:sz="4" w:space="0" w:color="FF6196" w:themeColor="accent1"/>
        </w:tcBorders>
      </w:tcPr>
    </w:tblStylePr>
    <w:tblStylePr w:type="band1Horz">
      <w:tblPr/>
      <w:tcPr>
        <w:tcBorders>
          <w:top w:val="single" w:sz="4" w:space="0" w:color="FF6196" w:themeColor="accent1"/>
          <w:bottom w:val="single" w:sz="4" w:space="0" w:color="FF619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6196" w:themeColor="accent1"/>
          <w:left w:val="nil"/>
        </w:tcBorders>
      </w:tcPr>
    </w:tblStylePr>
    <w:tblStylePr w:type="swCell">
      <w:tblPr/>
      <w:tcPr>
        <w:tcBorders>
          <w:top w:val="double" w:sz="4" w:space="0" w:color="FF6196" w:themeColor="accent1"/>
          <w:right w:val="nil"/>
        </w:tcBorders>
      </w:tcPr>
    </w:tblStylePr>
  </w:style>
  <w:style w:type="character" w:styleId="IntenseEmphasis">
    <w:name w:val="Intense Emphasis"/>
    <w:basedOn w:val="DefaultParagraphFont"/>
    <w:uiPriority w:val="21"/>
    <w:qFormat/>
    <w:rsid w:val="00785FBA"/>
    <w:rPr>
      <w:i/>
      <w:iCs/>
      <w:color w:val="FF6196" w:themeColor="accent1"/>
    </w:rPr>
  </w:style>
  <w:style w:type="table" w:customStyle="1" w:styleId="Style1">
    <w:name w:val="Style1"/>
    <w:basedOn w:val="TableNormal"/>
    <w:uiPriority w:val="99"/>
    <w:rsid w:val="00BD45CF"/>
    <w:pPr>
      <w:spacing w:after="0" w:line="240" w:lineRule="auto"/>
    </w:pPr>
    <w:tblPr>
      <w:tblBorders>
        <w:bottom w:val="single" w:sz="4" w:space="0" w:color="FF6196" w:themeColor="accent1"/>
        <w:insideH w:val="single" w:sz="4" w:space="0" w:color="FF6196" w:themeColor="accent1"/>
      </w:tblBorders>
    </w:tblPr>
    <w:tblStylePr w:type="firstRow">
      <w:pPr>
        <w:wordWrap/>
        <w:spacing w:beforeLines="0" w:before="0" w:beforeAutospacing="0" w:afterLines="0" w:after="0" w:afterAutospacing="0" w:line="240" w:lineRule="auto"/>
        <w:jc w:val="left"/>
      </w:pPr>
      <w:rPr>
        <w:b/>
        <w:color w:val="FFFFFF" w:themeColor="background1"/>
      </w:rPr>
      <w:tblPr/>
      <w:tcPr>
        <w:tcBorders>
          <w:bottom w:val="single" w:sz="4" w:space="0" w:color="19105B" w:themeColor="background2"/>
        </w:tcBorders>
        <w:shd w:val="clear" w:color="auto" w:fill="19105B" w:themeFill="background2"/>
        <w:vAlign w:val="center"/>
      </w:tcPr>
    </w:tblStylePr>
  </w:style>
  <w:style w:type="character" w:styleId="UnresolvedMention">
    <w:name w:val="Unresolved Mention"/>
    <w:basedOn w:val="DefaultParagraphFont"/>
    <w:uiPriority w:val="99"/>
    <w:semiHidden/>
    <w:unhideWhenUsed/>
    <w:rsid w:val="009F0E2C"/>
    <w:rPr>
      <w:color w:val="605E5C"/>
      <w:shd w:val="clear" w:color="auto" w:fill="E1DFDD"/>
    </w:rPr>
  </w:style>
  <w:style w:type="character" w:styleId="FollowedHyperlink">
    <w:name w:val="FollowedHyperlink"/>
    <w:basedOn w:val="DefaultParagraphFont"/>
    <w:uiPriority w:val="99"/>
    <w:semiHidden/>
    <w:unhideWhenUsed/>
    <w:rsid w:val="009F0E2C"/>
    <w:rPr>
      <w:color w:val="FF6196"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345821">
      <w:bodyDiv w:val="1"/>
      <w:marLeft w:val="0"/>
      <w:marRight w:val="0"/>
      <w:marTop w:val="0"/>
      <w:marBottom w:val="0"/>
      <w:divBdr>
        <w:top w:val="none" w:sz="0" w:space="0" w:color="auto"/>
        <w:left w:val="none" w:sz="0" w:space="0" w:color="auto"/>
        <w:bottom w:val="none" w:sz="0" w:space="0" w:color="auto"/>
        <w:right w:val="none" w:sz="0" w:space="0" w:color="auto"/>
      </w:divBdr>
      <w:divsChild>
        <w:div w:id="1161391056">
          <w:marLeft w:val="0"/>
          <w:marRight w:val="0"/>
          <w:marTop w:val="0"/>
          <w:marBottom w:val="0"/>
          <w:divBdr>
            <w:top w:val="none" w:sz="0" w:space="0" w:color="auto"/>
            <w:left w:val="none" w:sz="0" w:space="0" w:color="auto"/>
            <w:bottom w:val="none" w:sz="0" w:space="0" w:color="auto"/>
            <w:right w:val="none" w:sz="0" w:space="0" w:color="auto"/>
          </w:divBdr>
          <w:divsChild>
            <w:div w:id="59213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jmangroup.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6.xml"/></Relationships>
</file>

<file path=word/_rels/foot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5.svg"/><Relationship Id="rId2" Type="http://schemas.openxmlformats.org/officeDocument/2006/relationships/image" Target="media/image4.png"/><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https://jmangroupltd.sharepoint.com/sites/AssetLibrary/Shared%20Documents/JMAN%20Word%20Template%20v1.2%20(Cover%20Page,%20No%20Appendix).dotx" TargetMode="External"/></Relationships>
</file>

<file path=word/theme/theme1.xml><?xml version="1.0" encoding="utf-8"?>
<a:theme xmlns:a="http://schemas.openxmlformats.org/drawingml/2006/main" name="Office Theme">
  <a:themeElements>
    <a:clrScheme name="Custom 4">
      <a:dk1>
        <a:srgbClr val="1D1C1C"/>
      </a:dk1>
      <a:lt1>
        <a:srgbClr val="FFFFFF"/>
      </a:lt1>
      <a:dk2>
        <a:srgbClr val="3411A3"/>
      </a:dk2>
      <a:lt2>
        <a:srgbClr val="19105B"/>
      </a:lt2>
      <a:accent1>
        <a:srgbClr val="FF6196"/>
      </a:accent1>
      <a:accent2>
        <a:srgbClr val="71EAE1"/>
      </a:accent2>
      <a:accent3>
        <a:srgbClr val="26D4F0"/>
      </a:accent3>
      <a:accent4>
        <a:srgbClr val="A16BDB"/>
      </a:accent4>
      <a:accent5>
        <a:srgbClr val="A6265E"/>
      </a:accent5>
      <a:accent6>
        <a:srgbClr val="16978E"/>
      </a:accent6>
      <a:hlink>
        <a:srgbClr val="3411A3"/>
      </a:hlink>
      <a:folHlink>
        <a:srgbClr val="FF619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5b11a77-7788-46fd-9668-95ec4506d6ec">
      <Terms xmlns="http://schemas.microsoft.com/office/infopath/2007/PartnerControls"/>
    </lcf76f155ced4ddcb4097134ff3c332f>
    <TaxCatchAll xmlns="d6ec6e21-06be-401a-af9b-7c1579062cf2"/>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7405374391C1641A168C1236A716607" ma:contentTypeVersion="10" ma:contentTypeDescription="Create a new document." ma:contentTypeScope="" ma:versionID="dc82ab80b39d76336834c4ff58ca0733">
  <xsd:schema xmlns:xsd="http://www.w3.org/2001/XMLSchema" xmlns:xs="http://www.w3.org/2001/XMLSchema" xmlns:p="http://schemas.microsoft.com/office/2006/metadata/properties" xmlns:ns2="a5b11a77-7788-46fd-9668-95ec4506d6ec" xmlns:ns3="d6ec6e21-06be-401a-af9b-7c1579062cf2" targetNamespace="http://schemas.microsoft.com/office/2006/metadata/properties" ma:root="true" ma:fieldsID="150240c4c5ece0b62514323c29b6d46f" ns2:_="" ns3:_="">
    <xsd:import namespace="a5b11a77-7788-46fd-9668-95ec4506d6ec"/>
    <xsd:import namespace="d6ec6e21-06be-401a-af9b-7c1579062c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b11a77-7788-46fd-9668-95ec4506d6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90ee516-008d-467c-846c-f354b89760b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ec6e21-06be-401a-af9b-7c1579062c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54a59fc-f3fb-48c0-921a-e0f917b12790}" ma:internalName="TaxCatchAll" ma:showField="CatchAllData" ma:web="d6ec6e21-06be-401a-af9b-7c1579062c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FFBCC-9C22-4178-A4D4-21BC983E2CC4}">
  <ds:schemaRefs>
    <ds:schemaRef ds:uri="http://schemas.microsoft.com/sharepoint/v3/contenttype/forms"/>
  </ds:schemaRefs>
</ds:datastoreItem>
</file>

<file path=customXml/itemProps2.xml><?xml version="1.0" encoding="utf-8"?>
<ds:datastoreItem xmlns:ds="http://schemas.openxmlformats.org/officeDocument/2006/customXml" ds:itemID="{8525BEEE-E69A-4100-AFD4-163895F8B03F}">
  <ds:schemaRefs>
    <ds:schemaRef ds:uri="http://schemas.microsoft.com/office/2006/metadata/properties"/>
    <ds:schemaRef ds:uri="http://schemas.microsoft.com/office/infopath/2007/PartnerControls"/>
    <ds:schemaRef ds:uri="a5b11a77-7788-46fd-9668-95ec4506d6ec"/>
    <ds:schemaRef ds:uri="d6ec6e21-06be-401a-af9b-7c1579062cf2"/>
  </ds:schemaRefs>
</ds:datastoreItem>
</file>

<file path=customXml/itemProps3.xml><?xml version="1.0" encoding="utf-8"?>
<ds:datastoreItem xmlns:ds="http://schemas.openxmlformats.org/officeDocument/2006/customXml" ds:itemID="{7FFCC5B9-6968-482B-A352-3A323DEE2E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b11a77-7788-46fd-9668-95ec4506d6ec"/>
    <ds:schemaRef ds:uri="d6ec6e21-06be-401a-af9b-7c1579062c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766BDA-BC1C-48D9-8297-A8C612E8A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JMAN%20Word%20Template%20v1.2%20(Cover%20Page,%20No%20Appendix).dotx</Template>
  <TotalTime>0</TotalTime>
  <Pages>2</Pages>
  <Words>49</Words>
  <Characters>280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dc:title>
  <dc:subject>Pipeline lineage and reconciliation — setup, operation and architecture · 2026-08-04</dc:subject>
  <dc:creator>Recon</dc:creator>
  <cp:lastModifiedBy>Recon</cp:lastModifiedBy>
  <cp:revision>1</cp:revision>
  <cp:lastPrinted>2019-04-04T11:00:00Z</cp:lastPrinted>
  <dcterms:created xsi:type="dcterms:W3CDTF">2026-06-08T10:14:00Z</dcterms:created>
  <dcterms:modified xsi:type="dcterms:W3CDTF">2026-08-04T09:39:20Z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0x01010007405374391C1641A168C1236A716607</vt:lpwstr>
  </property>
  <property fmtid="{D5CDD505-2E9C-101B-9397-08002B2CF9AE}" pid="3" name="MediaServiceImageTags">
    <vt:lpwstr/>
  </property>
</Properties>
</file>