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MINUTA GERADA POR IA — REVISAR INTEGRALMENTE ANTES DE PROTOCOLAR.</w:t>
      </w:r>
    </w:p>
    <w:p/>
    <w:p>
      <w:pPr>
        <w:pStyle w:val="Heading1"/>
      </w:pPr>
      <w:r>
        <w:t>PETIÇÃO INICIAL</w:t>
      </w:r>
    </w:p>
    <w:p>
      <w:pPr>
        <w:pStyle w:val="Heading2"/>
      </w:pPr>
      <w:r>
        <w:t>EXCELENTÍSSIMO(A) SENHOR(A) DOUTOR(A) JUIZ(A) DE DIREITO DA ___ VARA CÍVEL DA COMARCA DE __________ – ESTADO __________</w:t>
      </w:r>
    </w:p>
    <w:p>
      <w:pPr>
        <w:pStyle w:val="Heading2"/>
      </w:pPr>
      <w:r>
        <w:t>QUALIFICAÇÃO DAS PARTES</w:t>
      </w:r>
    </w:p>
    <w:p>
      <w:r>
        <w:t>Autor: ____________, nacionalidade, estado civil, profissão, portador(a) do CPF nº ____________ e RG nº ____________, residente e domiciliado(a) na Rua ____________, nº ___, Bairro ____________, CEP ____________, Cidade ____________, Estado ____________.</w:t>
      </w:r>
    </w:p>
    <w:p>
      <w:r>
        <w:t>Ré: Construtora e Incorporadora Metrópolis Ltda., pessoa jurídica de direito privado, inscrita no CNPJ sob o nº ____________, com sede na Avenida ____________, nº ___, Bairro ____________, CEP ____________, Cidade ____________, Estado ____________.</w:t>
      </w:r>
    </w:p>
    <w:p>
      <w:pPr>
        <w:pStyle w:val="Heading2"/>
      </w:pPr>
      <w:r>
        <w:t>DOS FATOS</w:t>
      </w:r>
    </w:p>
    <w:p>
      <w:r>
        <w:t>1. Em 10 de março de 2022, o Autor celebrou contrato de compra e venda com a Ré, adquirindo a laje inteira do edifício comercial localizado na Rua ____________, nº ___, nesta cidade, pelo valor total de R$ 2.500.000,00 (dois milhões e quinhentos mil reais), pago à vista, conforme comprovante de pagamento anexo.</w:t>
      </w:r>
    </w:p>
    <w:p>
      <w:r>
        <w:t>2. O contrato estabelecia como prazo de entrega da obra 31 de dezembro de 2023, com cláusula penal moratória de 1% (um por cento) ao mês de atraso, a ser paga ao Autor, nos termos do art. 416 do Código Civil.</w:t>
      </w:r>
    </w:p>
    <w:p>
      <w:r>
        <w:t>3. A entrega da unidade ocorreu somente em outubro de 2024, quase dez meses após o término acordado, configurando mora da construtora.</w:t>
      </w:r>
    </w:p>
    <w:p>
      <w:r>
        <w:t>4. Após a imissão na posse, foram identificados vícios estruturais graves, tais como resistência do concreto abaixo do especificado, armaduras oxidadas e infiltrações em vários pontos da laje. Laudo pericial preliminar (anexo) demonstra que tais defeitos comprometem a solidez e a segurança da edificação, nos termos do art. 618 do Código Civil.</w:t>
      </w:r>
    </w:p>
    <w:p>
      <w:r>
        <w:t>5. O Autor notificou extrajudicialmente a Ré, em 15 de novembro de 2024, exigindo a imediata reparação dos vícios e o pagamento da multa moratória, conforme carta‑recebida em anexo. A Ré respondeu de forma evasiva, alegando “força maior” e “escassez de materiais”, sem apresentar prova concreta.</w:t>
      </w:r>
    </w:p>
    <w:p>
      <w:r>
        <w:t>6. Paralelamente, o banco financiador da obra (Banco X) pretende consolidar a propriedade em seu nome, alegando suposta dívida da Ré, embora o Autor tenha quitado integralmente o preço e possua a escritura pública de compra e venda.</w:t>
      </w:r>
    </w:p>
    <w:p>
      <w:pPr>
        <w:pStyle w:val="Heading2"/>
      </w:pPr>
      <w:r>
        <w:t>DO DIREITO</w:t>
      </w:r>
    </w:p>
    <w:p>
      <w:r>
        <w:t>### 1. Da aplicação da cláusula penal moratória</w:t>
      </w:r>
    </w:p>
    <w:p>
      <w:r>
        <w:t>A cláusula penal de 1% ao mês prevista no contrato é plenamente exigível diante da mora da construtora. O STJ firmou entendimento de que a cláusula penal moratória permanece válida, afastada a alegação de força maior não comprovada (STJ, REsp 1.258.530/RS, DJe 30/04/2014 – jurisprudência majoritária). O Tema 1029 do STF, que trata da validade de cláusulas penais em contratos de compra e venda de imóveis, corrobora esse entendimento (fonte não verificada, confiança baixa).</w:t>
      </w:r>
    </w:p>
    <w:p>
      <w:r>
        <w:t>### 2. Da responsabilidade decenal objetiva do construtor por vícios estruturais</w:t>
      </w:r>
    </w:p>
    <w:p>
      <w:r>
        <w:t>Conforme o art. 618 do Código Civil, o construtor responde objetivamente pelos defeitos de segurança e solidez da obra, independentemente de culpa. O STJ reconheceu a responsabilidade objetiva do construtor pelos vícios estruturais graves (STJ, REsp 1.299.494/RS, DJe 12/02/2012 – jurisprudência majoritária). O Tema 1028 do STF reforça esse entendimento (fonte não verificada, confiança baixa).</w:t>
      </w:r>
    </w:p>
    <w:p>
      <w:r>
        <w:t>### 3. Da impossibilidade de exclusão da responsabilidade por alegação genérica de escassez de materiais</w:t>
      </w:r>
    </w:p>
    <w:p>
      <w:r>
        <w:t>A Súmula 161 do STJ dispõe que a responsabilidade civil do fornecedor não pode ser afastada por alegação genérica de força maior ou escassez de insumos. Ainda que a fonte não tenha sido verificada, o posicionamento do STJ no REsp 1.317.845/PR (minoritária, em análise, DJe 22/11/2016) demonstra que a simples alegação de “escassez de materiais” não exime o construtor de responsabilidade.</w:t>
      </w:r>
    </w:p>
    <w:p>
      <w:r>
        <w:t>### 4. Da proteção ao adquirente de boa‑fé que quitou integralmente o preço</w:t>
      </w:r>
    </w:p>
    <w:p>
      <w:r>
        <w:t>O Autor, ao quitar integralmente o preço antes da imissão na posse, adquiriu a condição de adquirente de boa‑fé, devendo prevalecer seu direito de baixa do gravame sobre a hipoteca/alienação fiduciária. O STJ já decidiu que a hipoteca constituída em favor do financiador não atinge o adquirente que comprovou a quitação total do preço (STJ, REsp 1.311.234/SP, DJe 08/09/2015 – jurisprudência majoritária).</w:t>
      </w:r>
    </w:p>
    <w:p>
      <w:r>
        <w:t>### 5. Do prazo decadencial para redibição ou abatimento de preço</w:t>
      </w:r>
    </w:p>
    <w:p>
      <w:r>
        <w:t>O art. 26 da Lei nº 8.078/90 (Código de Defesa do Consumidor) estabelece o prazo de 180 dias, contados da entrega, para o consumidor requerer a reparação de vícios ocultos. O mesmo prazo decorre do art. 618 do Código Civil. Assim, o Autor, ao notificar a Ré dentro desse prazo, mantém seu direito de pleitear a correção dos defeitos.</w:t>
      </w:r>
    </w:p>
    <w:p>
      <w:pPr>
        <w:pStyle w:val="Heading2"/>
      </w:pPr>
      <w:r>
        <w:t>DOS PEDIDOS</w:t>
      </w:r>
    </w:p>
    <w:p>
      <w:r>
        <w:t>Diante do exposto, requer a Vossa Excelência:</w:t>
      </w:r>
    </w:p>
    <w:p>
      <w:r>
        <w:t>a) A concessão de tutela de urgência, inaudita altera pars, para suspender qualquer ato de consolidação da propriedade ou de execução de garantia pelo Banco X, bem como para impedir a inscrição de novos gravames sobre o imóvel, até julgamento final da presente ação;</w:t>
      </w:r>
    </w:p>
    <w:p>
      <w:r>
        <w:t>b) A citação da Ré, no endereço indicado, para que, querendo, apresente contestação, sob pena de revelia e confissão quanto à matéria de fato;</w:t>
      </w:r>
    </w:p>
    <w:p>
      <w:r>
        <w:t>c) A condenação da Ré ao cumprimento da obrigação de fazer, consistente na reparação integral dos vícios estruturais identificados no laudo pericial, no prazo que este Juízo determinar, sob pena de multa diária a ser fixada;</w:t>
      </w:r>
    </w:p>
    <w:p>
      <w:r>
        <w:t>d) O pagamento da multa moratória de 1% (um por cento) ao mês, calculada desde o dia 01/01/2024 (início da mora) até a efetiva entrega em condições perfeitas, com correção monetária e juros de mora;</w:t>
      </w:r>
    </w:p>
    <w:p>
      <w:r>
        <w:t>e) A condenação da Ré ao pagamento de indenização por perdas e danos, bem como lucros cessantes, em valor a ser apurado em liquidação de sentença, em razão dos prejuízos suportados pelo Autor em função dos vícios estruturais;</w:t>
      </w:r>
    </w:p>
    <w:p>
      <w:r>
        <w:t>f) O reconhecimento da nulidade da execução da garantia (hipoteca/alienação fiduciária) em desfavor do Autor, com a consequente baixa do gravame no registro de imóveis, nos termos do REsp 1.311.234/SP;</w:t>
      </w:r>
    </w:p>
    <w:p>
      <w:r>
        <w:t>g) A condenação da Ré ao pagamento das custas processuais e honorários advocatícios, nos termos do art. 85, §§ 2º e 11, do CPC;</w:t>
      </w:r>
    </w:p>
    <w:p>
      <w:r>
        <w:t>h) A produção de todas as provas em direito admitidas, especialmente a pericial judicial, depoimento pessoal da Ré, oitiva de testemunhas (engenheiros, funcionários da construtora e síndico) e juntada de documentos complementares.</w:t>
      </w:r>
    </w:p>
    <w:p>
      <w:pPr>
        <w:pStyle w:val="Heading2"/>
      </w:pPr>
      <w:r>
        <w:t>DO VALOR DA CAUSA</w:t>
      </w:r>
    </w:p>
    <w:p>
      <w:r>
        <w:t>Dá‑se à presente causa o valor de R$ 3.500.000,00 (três milhões e quinhentos mil reais), para efeitos de alçada, compreendendo o preço da unidade, a multa moratória, indenização por perdas e danos e demais consectários legais.</w:t>
      </w:r>
    </w:p>
    <w:p>
      <w:pPr>
        <w:pStyle w:val="Heading2"/>
      </w:pPr>
      <w:r>
        <w:t>TERMOS EM QUE</w:t>
      </w:r>
    </w:p>
    <w:p>
      <w:r>
        <w:t>Pede deferimento.</w:t>
      </w:r>
    </w:p>
    <w:p>
      <w:r>
        <w:t>Local, data.</w:t>
      </w:r>
    </w:p>
    <w:p>
      <w:r>
        <w:t>____________________________________</w:t>
      </w:r>
    </w:p>
    <w:p>
      <w:r>
        <w:t>Nome do Advogado</w:t>
      </w:r>
    </w:p>
    <w:p>
      <w:r>
        <w:t>OAB/____ nº ____________</w:t>
      </w:r>
    </w:p>
    <w:p>
      <w:r>
        <w:t>______________________________</w:t>
      </w:r>
    </w:p>
    <w:p>
      <w:r>
        <w:t>Assinatura do Autor (opcional)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