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MINUTA GERADA POR IA — REVISAR INTEGRALMENTE ANTES DE PROTOCOLAR.</w:t>
      </w:r>
    </w:p>
    <w:p/>
    <w:p>
      <w:pPr>
        <w:pStyle w:val="Heading1"/>
      </w:pPr>
      <w:r>
        <w:t>PETIÇÃO INICIAL</w:t>
      </w:r>
    </w:p>
    <w:p>
      <w:pPr>
        <w:pStyle w:val="Heading2"/>
      </w:pPr>
      <w:r>
        <w:t>EXMO. SR. DR. JUIZ DE DIREITO DA ____ VARA CÍVEL DA COMARCA DE __________ – ESTADO</w:t>
      </w:r>
    </w:p>
    <w:p>
      <w:pPr>
        <w:pStyle w:val="Heading2"/>
      </w:pPr>
      <w:r>
        <w:t>AUTOR: JOÃO DA SILVA, brasileiro, casado, engenheiro civil, portador do CPF nº 000.000.000‑00 e RG nº 0.000.000‑0, residente e domiciliado à Rua das Flores, nº 123, Bairro Centro, CEP 12345‑678, Cidade/Estado.</w:t>
      </w:r>
    </w:p>
    <w:p>
      <w:pPr>
        <w:pStyle w:val="Heading2"/>
      </w:pPr>
      <w:r>
        <w:t>RÉ: CONSTRUTORA E INCORPORADORA METRÓPOLIS LTDA., pessoa jurídica de direito privado, inscrita no CNPJ sob o nº 00.000.000/0001‑00, com sede na Avenida das Indústrias, nº 456, Bairro Industrial, CEP 98765‑432, Cidade/Estado, e BANCO XYZ S/A, instituição financeira inscrita no CNPJ sob o nº 11.111.111/0001‑11, com agência nº 1234, situada na Rua dos Bancos, nº 789, Bairro Financeiro, CEP 11223‑445, Cidade/Estado, ambos pelos fatos e fundamentos a seguir expostos.</w:t>
      </w:r>
    </w:p>
    <w:p>
      <w:pPr>
        <w:pStyle w:val="Heading2"/>
      </w:pPr>
      <w:r>
        <w:t>DOS FATOS</w:t>
      </w:r>
    </w:p>
    <w:p>
      <w:r>
        <w:t>1. Em 15 de janeiro de 2022, o Autor adquiriu da Ré a laje inteira do edifício comercial situado à Rua das Palmeiras, nº 1000, Cidade/Estado, mediante contrato de compra e venda e pagamento à vista no valor de R$ 2.500.000,00 (dois milhões e quinhentos mil reais), conforme comprovante de pagamento anexo (doc. 01).</w:t>
      </w:r>
    </w:p>
    <w:p>
      <w:r>
        <w:t>2. O contrato previa a entrega da obra em 1 de fevereiro de 2024, com cláusula penal moratória de 1 % (um por cento) ao mês, calculada sobre o preço total, em caso de atraso, nos termos do art. 421 do Código Civil.</w:t>
      </w:r>
    </w:p>
    <w:p>
      <w:r>
        <w:t>3. A entrega efetiva ocorreu apenas em 15 de outubro 2024, configurando atraso de quase dez meses, motivo pelo qual o Autor notificou extrajudicialmente a Ré em 30 de outubro 2024, exigindo a reparação dos vícios estruturais e o pagamento da multa moratória, conforme carta‑registro anexa (doc. 02). A Ré, entretanto, respondeu de forma evasiva, não apresentando solução.</w:t>
      </w:r>
    </w:p>
    <w:p>
      <w:r>
        <w:t>4. Na entrega, foram constatados graves vícios estruturais: resistência do concreto inferior ao especificado (teste de compressão indicou 18 MPa em vez dos 25 MPa previstos), armaduras visivelmente oxidadas e infiltrações nas áreas comuns e na laje adquirida. Laudo técnico pericial (doc. 03) atesta a gravidade dos defeitos e estima o custo de reparo em R$ 850.000,00 (oitocentos e cinquenta mil reais), incluindo reforço com fibra de carbono.</w:t>
      </w:r>
    </w:p>
    <w:p>
      <w:r>
        <w:t>5. Além dos vícios, o Autor foi surpreendido com a tentativa do Banco XYZ de consolidar a propriedade do imóvel mediante execução da hipoteca constituída em favor da instituição, alegando dívida da Ré com o financiamento. O Autor, porém, quitou integralmente o preço da compra antes da imissão na posse, não devendo, portanto, ser atingido por gravame que recai sobre a construtora.</w:t>
      </w:r>
    </w:p>
    <w:p>
      <w:pPr>
        <w:pStyle w:val="Heading2"/>
      </w:pPr>
      <w:r>
        <w:t>DO DIREITO</w:t>
      </w:r>
    </w:p>
    <w:p>
      <w:r>
        <w:t>### 1. Aplicação da cláusula penal moratória</w:t>
      </w:r>
    </w:p>
    <w:p>
      <w:r>
        <w:t>A cláusula penal de 1 % ao mês prevista no contrato é plenamente exigível diante do atraso de quase dez meses, sendo inadmissível a alegação de força maior por parte da Ré. O Superior Tribunal de Justiça consolidou entendimento de que “mantida a cláusula penal de 1 % ao mês em contrato de compra e venda de unidade imobiliária, afastada a alegação de força maior pela construtora” (STJ, REsp 1.258.530/RS, DJe 30/04/2014 – jurisprudência **majoritária**). Este precedente aplica‑se ao caso em tela, devendo a Ré arcar com a multa moratória correspondente a 10 % (dez por cento) do valor do contrato, totalizando R$ 250.000,00 (duzentos e cinquenta mil reais).</w:t>
      </w:r>
    </w:p>
    <w:p>
      <w:r>
        <w:t>### 2. Responsabilidade decenal objetiva do construtor por vícios estruturais</w:t>
      </w:r>
    </w:p>
    <w:p>
      <w:r>
        <w:t>Nos termos do art. 618 do Código Civil, o construtor responde objetivamente pelos defeitos de segurança e solidez da obra, independentemente de culpa. O STJ reconheceu essa responsabilidade decenal objetiva em casos de vícios estruturais graves (STJ, REsp 1.299.494/RS, DJe 12/02/2012 – jurisprudência **majoritária**). Além disso, o Tema 1028 do STF (não verificado) corrobora o entendimento de responsabilidade objetiva do construtor por defeitos de segurança. Assim, a Ré deve ser condenada a indenizar o Autor pelos danos materiais decorrentes dos vícios, inclusive o custo da perícia e dos reparos, bem como lucros cessantes referentes à impossibilidade de exploração comercial da laje durante o período de inadaptação.</w:t>
      </w:r>
    </w:p>
    <w:p>
      <w:r>
        <w:t>### 3. Inexistência de exclusão de responsabilidade por suposta escassez de materiais</w:t>
      </w:r>
    </w:p>
    <w:p>
      <w:r>
        <w:t>A Ré tenta justificar os atrasos e vícios alegando escassez de materiais. Contudo, a Súmula 161 do STJ estabelece que “a responsabilidade civil do fornecedor é objetiva e não pode ser afastada por alegação genérica de força maior ou escassez de insumos” (fonte **não verificada**; portanto, confiança baixa). O STJ, em decisão minoritária em análise, reafirmou que “a alegação genérica de escassez de materiais não constitui caso fortuito ou força maior capaz de excluir a responsabilidade da construtora” (REsp 1.317.845/PR, DJe 22/11/2016 – jurisprudência **minoritária_em_analise**). Ainda que essa tese ainda não seja pacífica, o conjunto probatório demonstra que a alegação da Ré carece de respaldo.</w:t>
      </w:r>
    </w:p>
    <w:p>
      <w:r>
        <w:t>### 4. Ineficácia da hipoteca/alienação fiduciária em face do adquirente de boa‑fé</w:t>
      </w:r>
    </w:p>
    <w:p>
      <w:r>
        <w:t>O Autor, como adquirente de boa‑fé que quitou integralmente o preço antes da imissão na posse, tem direito à baixa do gravame. O STJ já decidiu que “a hipoteca constituída em favor do financiador não atinge o adquirente que comprovou a quitação total do preço antes da imissão na posse, devendo ser cancelada a restrição” (STJ, REsp 1.311.234/SP, DJe 08/09/2015 – jurisprudência **majoritária**). Este precedente impede que o Banco XYZ consolide a propriedade em desfavor do Autor, devendo ser declarada a nulidade da execução da garantia e a manutenção da titularidade em nome do Autor.</w:t>
      </w:r>
    </w:p>
    <w:p>
      <w:r>
        <w:t>### 5. Prazo decadencial para redibição ou abatimento de preço por vícios ocultos</w:t>
      </w:r>
    </w:p>
    <w:p>
      <w:r>
        <w:t>Conforme o art. 26 do CDC e o art. 618 do CC, o prazo para pleitear abatimento ou redibição do preço pelos vícios ocultos é de 180 dias contados da entrega e da constatação dos defeitos mediante laudo técnico (fonte **não verificada**; confiança baixa). O laudo pericial juntado (doc. 03) foi elaborado dentro desse prazo, preservando o direito do Autor de demandar a reparação integral dos vícios.</w:t>
      </w:r>
    </w:p>
    <w:p>
      <w:pPr>
        <w:pStyle w:val="Heading2"/>
      </w:pPr>
      <w:r>
        <w:t>DOS PEDIDOS</w:t>
      </w:r>
    </w:p>
    <w:p>
      <w:r>
        <w:t>Diante do exposto, requer‑se a Vossa Excelência:</w:t>
      </w:r>
    </w:p>
    <w:p>
      <w:r>
        <w:t>1. A concessão de tutela de urgência antecipada, determinando à Ré a imediata paralisação de quaisquer atos que visem a consolidação da propriedade do imóvel em nome do Banco XYZ, bem como a manutenção da situação atual até o julgamento final.</w:t>
      </w:r>
    </w:p>
    <w:p>
      <w:r>
        <w:t>2. A citação da Ré, na pessoa de seu representante legal, e do Banco XYZ, na pessoa de seu representante legal, para, querendo, apresentarem contestação, sob pena de revelia e confissão quanto à matéria de fato.</w:t>
      </w:r>
    </w:p>
    <w:p>
      <w:r>
        <w:t>3. A condenação da Ré ao pagamento da multa moratória prevista contratualmente, equivalente a 1 % ao mês sobre o valor do contrato, totalizando R$ 250.000,00 (duzentos e cinquenta mil reais), corrigidos monetariamente e acrescidos de juros de mora desde a data do atraso.</w:t>
      </w:r>
    </w:p>
    <w:p>
      <w:r>
        <w:t>4. A condenação da Ré ao pagamento de indenização por perdas e danos, compreendendo:</w:t>
      </w:r>
    </w:p>
    <w:p>
      <w:r>
        <w:t>a) o custo total dos reparos estruturais apontados no laudo pericial (R$ 850.000,00);</w:t>
      </w:r>
    </w:p>
    <w:p>
      <w:r>
        <w:t>b) os lucros cessantes referentes à impossibilidade de exploração comercial da laje entre a entrega defeituosa e a conclusão dos reparos, estimados em R$ 150.000,00;</w:t>
      </w:r>
    </w:p>
    <w:p>
      <w:r>
        <w:t>c) as despesas com a perícia judicial e demais custas processuais.</w:t>
      </w:r>
    </w:p>
    <w:p>
      <w:r>
        <w:t>5. A declaração de nulidade da execução da garantia hipotecária/alienação fiduciária em desfavor do Autor, com a consequente ordem de cancelamento da restrição registral que recai sobre o imóvel, garantindo a manutenção da titularidade em nome do Autor.</w:t>
      </w:r>
    </w:p>
    <w:p>
      <w:r>
        <w:t>6. A condenação da Ré ao pagamento de honorários advocatícios, nos termos do art. 85, §2º, do Código de Processo Civil, e das custas processuais.</w:t>
      </w:r>
    </w:p>
    <w:p>
      <w:r>
        <w:t>7. A produção de todas as provas admitidas em direito, especialmente prova pericial complementar, oitiva de testemunhas (engenheiros, funcionários da construtora e síndico) e juntada de documentos complementares que se fizerem necessários.</w:t>
      </w:r>
    </w:p>
    <w:p>
      <w:pPr>
        <w:pStyle w:val="Heading2"/>
      </w:pPr>
      <w:r>
        <w:t>DO VALOR DA CAUSA</w:t>
      </w:r>
    </w:p>
    <w:p>
      <w:r>
        <w:t>Dá‑se à causa o valor de R$ 2.250.000,00 (dois milhões, duzentos e cinquenta mil reais), correspondente ao somatório do preço do imóvel, da multa moratória, dos danos materiais e dos lucros cessantes.</w:t>
      </w:r>
    </w:p>
    <w:p>
      <w:pPr>
        <w:pStyle w:val="Heading2"/>
      </w:pPr>
      <w:r>
        <w:t>TERMOS EM QUE, PEDE DEFERIMENTO</w:t>
      </w:r>
    </w:p>
    <w:p>
      <w:r>
        <w:t>Local, data.</w:t>
      </w:r>
    </w:p>
    <w:p>
      <w:r>
        <w:t>____________________________________________________</w:t>
      </w:r>
    </w:p>
    <w:p>
      <w:r>
        <w:t>Assinatura do Advogado</w:t>
      </w:r>
    </w:p>
    <w:p>
      <w:r>
        <w:t>Nome do Advogado – OAB/UF nº XXXXX</w:t>
      </w:r>
    </w:p>
    <w:p>
      <w:r>
        <w:t>---</w:t>
      </w:r>
    </w:p>
    <w:p>
      <w:r>
        <w:t>*Documentos juntados:*</w:t>
      </w:r>
    </w:p>
    <w:p>
      <w:r>
        <w:t>doc. 01 – Comprovante de pagamento do preço;</w:t>
      </w:r>
    </w:p>
    <w:p>
      <w:r>
        <w:t>doc. 02 – Carta‑registro de notificação extrajudicial;</w:t>
      </w:r>
    </w:p>
    <w:p>
      <w:r>
        <w:t>doc. 03 – Laudo pericial técnico;</w:t>
      </w:r>
    </w:p>
    <w:p>
      <w:r>
        <w:t>doc. 04 – Contrato de compra e venda com cláusula penal;</w:t>
      </w:r>
    </w:p>
    <w:p>
      <w:r>
        <w:t>doc. 05 – Escritura pública de compra e venda;</w:t>
      </w:r>
    </w:p>
    <w:p>
      <w:r>
        <w:t>doc. 06 – Extrato bancário comprovando a quitação integral do preço;</w:t>
      </w:r>
    </w:p>
    <w:p>
      <w:r>
        <w:t>doc. 07 – Certidão de ônus reais (para demonstrar a tentativa de consolidação da hipoteca).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