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E360ED" w:rsidRDefault="001A682B" w:rsidP="001A682B">
      <w:pPr>
        <w:spacing w:after="0" w:line="240" w:lineRule="auto"/>
        <w:jc w:val="center"/>
        <w:rPr>
          <w:rFonts w:ascii="Times New Roman" w:hAnsi="Times New Roman" w:cs="Times New Roman"/>
          <w:b/>
          <w:sz w:val="24"/>
          <w:szCs w:val="24"/>
        </w:rPr>
      </w:pPr>
    </w:p>
    <w:p w14:paraId="0C85AD3D" w14:textId="77777777" w:rsidR="001A682B" w:rsidRPr="00E360ED" w:rsidRDefault="001A682B" w:rsidP="001A682B">
      <w:pPr>
        <w:spacing w:after="0" w:line="240" w:lineRule="auto"/>
        <w:jc w:val="center"/>
        <w:rPr>
          <w:rFonts w:ascii="Times New Roman" w:hAnsi="Times New Roman" w:cs="Times New Roman"/>
          <w:b/>
          <w:sz w:val="24"/>
          <w:szCs w:val="24"/>
        </w:rPr>
      </w:pPr>
      <w:r w:rsidRPr="00E360ED">
        <w:rPr>
          <w:rFonts w:ascii="Times New Roman" w:hAnsi="Times New Roman" w:cs="Times New Roman"/>
          <w:b/>
          <w:sz w:val="24"/>
          <w:szCs w:val="24"/>
        </w:rPr>
        <w:t xml:space="preserve">Agricultural Production and Nutrient Balance: </w:t>
      </w:r>
    </w:p>
    <w:p w14:paraId="7F53B281" w14:textId="77777777" w:rsidR="001A682B" w:rsidRPr="00E360ED" w:rsidRDefault="001A682B" w:rsidP="001A682B">
      <w:pPr>
        <w:spacing w:after="0" w:line="240" w:lineRule="auto"/>
        <w:jc w:val="center"/>
        <w:rPr>
          <w:rFonts w:ascii="Times New Roman" w:hAnsi="Times New Roman" w:cs="Times New Roman"/>
          <w:b/>
          <w:sz w:val="24"/>
          <w:szCs w:val="24"/>
        </w:rPr>
      </w:pPr>
      <w:r w:rsidRPr="00E360ED">
        <w:rPr>
          <w:rFonts w:ascii="Times New Roman" w:hAnsi="Times New Roman" w:cs="Times New Roman"/>
          <w:b/>
          <w:sz w:val="24"/>
          <w:szCs w:val="24"/>
        </w:rPr>
        <w:t>Case of Ireland, Spain, and France</w:t>
      </w:r>
    </w:p>
    <w:p w14:paraId="68B8C7A7" w14:textId="12B81546" w:rsidR="0007178C" w:rsidRDefault="0007178C"/>
    <w:p w14:paraId="3B14DC2C" w14:textId="2A4F513D" w:rsidR="001A682B" w:rsidRDefault="001A682B"/>
    <w:p w14:paraId="794AA378" w14:textId="77777777" w:rsidR="001A682B" w:rsidRPr="00E360ED" w:rsidRDefault="001A682B" w:rsidP="001A682B">
      <w:pPr>
        <w:pStyle w:val="Heading1"/>
        <w:spacing w:before="0" w:line="240" w:lineRule="auto"/>
        <w:jc w:val="center"/>
        <w:rPr>
          <w:rFonts w:ascii="Times New Roman" w:hAnsi="Times New Roman" w:cs="Times New Roman"/>
          <w:b/>
          <w:color w:val="auto"/>
          <w:sz w:val="24"/>
          <w:szCs w:val="24"/>
        </w:rPr>
      </w:pPr>
      <w:bookmarkStart w:id="0" w:name="_Toc123606958"/>
      <w:r w:rsidRPr="00E360ED">
        <w:rPr>
          <w:rFonts w:ascii="Times New Roman" w:hAnsi="Times New Roman" w:cs="Times New Roman"/>
          <w:b/>
          <w:color w:val="auto"/>
          <w:sz w:val="24"/>
          <w:szCs w:val="24"/>
        </w:rPr>
        <w:t>Introduction</w:t>
      </w:r>
      <w:bookmarkEnd w:id="0"/>
    </w:p>
    <w:p w14:paraId="3F6E398A" w14:textId="24954631" w:rsidR="001A682B" w:rsidRDefault="001A682B" w:rsidP="001A682B">
      <w:pPr>
        <w:pStyle w:val="Heading2"/>
        <w:spacing w:before="0" w:line="240" w:lineRule="auto"/>
        <w:rPr>
          <w:rFonts w:ascii="Times New Roman" w:hAnsi="Times New Roman" w:cs="Times New Roman"/>
          <w:b/>
          <w:color w:val="auto"/>
          <w:sz w:val="24"/>
          <w:szCs w:val="24"/>
        </w:rPr>
      </w:pPr>
      <w:bookmarkStart w:id="1" w:name="_Toc123606959"/>
      <w:r w:rsidRPr="00E360ED">
        <w:rPr>
          <w:rFonts w:ascii="Times New Roman" w:hAnsi="Times New Roman" w:cs="Times New Roman"/>
          <w:b/>
          <w:color w:val="auto"/>
          <w:sz w:val="24"/>
          <w:szCs w:val="24"/>
        </w:rPr>
        <w:t>Background</w:t>
      </w:r>
      <w:bookmarkEnd w:id="1"/>
    </w:p>
    <w:p w14:paraId="0DB27A41" w14:textId="77777777" w:rsidR="001A682B" w:rsidRPr="001A682B" w:rsidRDefault="001A682B" w:rsidP="001A682B"/>
    <w:p w14:paraId="02A24239" w14:textId="574DC7F5"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WEF22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(WEF, 2022)</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weed control, nutrient balancing, irrigation, farm machinery use, optimization of human labor productivity, temperature controls, and research on favorable crop conditions. This research studied the EU agricultural production, nutrient balance, and labor input from 1991 to 2017, basing the study on Ireland, Spain, and France.</w:t>
      </w:r>
    </w:p>
    <w:p w14:paraId="25D32514" w14:textId="77777777" w:rsidR="001A682B" w:rsidRPr="00E360ED" w:rsidRDefault="001A682B" w:rsidP="001A682B">
      <w:pPr>
        <w:pStyle w:val="Heading2"/>
        <w:spacing w:before="0" w:line="240" w:lineRule="auto"/>
        <w:rPr>
          <w:rFonts w:ascii="Times New Roman" w:hAnsi="Times New Roman" w:cs="Times New Roman"/>
          <w:b/>
          <w:color w:val="auto"/>
          <w:sz w:val="24"/>
          <w:szCs w:val="24"/>
        </w:rPr>
      </w:pPr>
      <w:bookmarkStart w:id="2" w:name="_Toc123606960"/>
      <w:r w:rsidRPr="00E360ED">
        <w:rPr>
          <w:rFonts w:ascii="Times New Roman" w:hAnsi="Times New Roman" w:cs="Times New Roman"/>
          <w:b/>
          <w:color w:val="auto"/>
          <w:sz w:val="24"/>
          <w:szCs w:val="24"/>
        </w:rPr>
        <w:t>Objectives, Research Questions and Hypotheses</w:t>
      </w:r>
      <w:bookmarkEnd w:id="2"/>
    </w:p>
    <w:p w14:paraId="304235BA"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Objective 1:</w:t>
      </w:r>
      <w:r w:rsidRPr="00E360ED">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Objective 2:</w:t>
      </w:r>
      <w:r w:rsidRPr="00E360ED">
        <w:rPr>
          <w:rFonts w:ascii="Times New Roman" w:hAnsi="Times New Roman" w:cs="Times New Roman"/>
          <w:sz w:val="24"/>
          <w:szCs w:val="24"/>
        </w:rPr>
        <w:t xml:space="preserve"> To test the relationship impact of nutrient balance and labor input on agricultural production in Ireland, Spain, and France.</w:t>
      </w:r>
    </w:p>
    <w:p w14:paraId="545DA11C"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Research Question 1:</w:t>
      </w:r>
      <w:r w:rsidRPr="00E360ED">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Null Hypothesis:</w:t>
      </w:r>
      <w:r w:rsidRPr="00E360ED">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Alternative Hypothesis:</w:t>
      </w:r>
      <w:r w:rsidRPr="00E360ED">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Research Question 2:</w:t>
      </w:r>
      <w:r w:rsidRPr="00E360ED">
        <w:rPr>
          <w:rFonts w:ascii="Times New Roman" w:hAnsi="Times New Roman" w:cs="Times New Roman"/>
          <w:sz w:val="24"/>
          <w:szCs w:val="24"/>
        </w:rPr>
        <w:t xml:space="preserve"> Is there a relationship or association between agricultural production, nutrient balance, and labor input?</w:t>
      </w:r>
    </w:p>
    <w:p w14:paraId="4F1F4739"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Null Hypothesis:</w:t>
      </w:r>
      <w:r w:rsidRPr="00E360ED">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Alternative Hypothesis:</w:t>
      </w:r>
      <w:r w:rsidRPr="00E360ED">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Default="001A682B" w:rsidP="001A682B">
      <w:pPr>
        <w:spacing w:after="0" w:line="240" w:lineRule="auto"/>
        <w:rPr>
          <w:rFonts w:ascii="Times New Roman" w:hAnsi="Times New Roman" w:cs="Times New Roman"/>
          <w:sz w:val="24"/>
          <w:szCs w:val="24"/>
        </w:rPr>
      </w:pPr>
    </w:p>
    <w:p w14:paraId="23C4BEA8" w14:textId="4DD2F771" w:rsidR="001A682B" w:rsidRDefault="001A682B" w:rsidP="001A682B">
      <w:pPr>
        <w:spacing w:after="0" w:line="240" w:lineRule="auto"/>
        <w:rPr>
          <w:rFonts w:ascii="Times New Roman" w:hAnsi="Times New Roman" w:cs="Times New Roman"/>
          <w:sz w:val="24"/>
          <w:szCs w:val="24"/>
        </w:rPr>
      </w:pPr>
    </w:p>
    <w:p w14:paraId="03C0FE3D" w14:textId="77777777" w:rsidR="001A682B" w:rsidRPr="00E360ED" w:rsidRDefault="001A682B" w:rsidP="001A682B">
      <w:pPr>
        <w:pStyle w:val="Heading1"/>
        <w:spacing w:before="0" w:line="240" w:lineRule="auto"/>
        <w:jc w:val="center"/>
        <w:rPr>
          <w:rFonts w:ascii="Times New Roman" w:hAnsi="Times New Roman" w:cs="Times New Roman"/>
          <w:b/>
          <w:color w:val="auto"/>
          <w:sz w:val="24"/>
          <w:szCs w:val="24"/>
        </w:rPr>
      </w:pPr>
      <w:bookmarkStart w:id="3" w:name="_Toc123606961"/>
      <w:r w:rsidRPr="00E360ED">
        <w:rPr>
          <w:rFonts w:ascii="Times New Roman" w:hAnsi="Times New Roman" w:cs="Times New Roman"/>
          <w:b/>
          <w:color w:val="auto"/>
          <w:sz w:val="24"/>
          <w:szCs w:val="24"/>
        </w:rPr>
        <w:t>Literature</w:t>
      </w:r>
      <w:bookmarkEnd w:id="3"/>
    </w:p>
    <w:p w14:paraId="1DE619F8" w14:textId="77777777" w:rsidR="001A682B" w:rsidRPr="00E360ED" w:rsidRDefault="001A682B" w:rsidP="001A682B">
      <w:pPr>
        <w:pStyle w:val="Heading2"/>
        <w:spacing w:before="0" w:line="240" w:lineRule="auto"/>
        <w:rPr>
          <w:rFonts w:ascii="Times New Roman" w:hAnsi="Times New Roman" w:cs="Times New Roman"/>
          <w:b/>
          <w:color w:val="auto"/>
          <w:sz w:val="24"/>
          <w:szCs w:val="24"/>
        </w:rPr>
      </w:pPr>
      <w:bookmarkStart w:id="4" w:name="_Toc123606962"/>
      <w:r w:rsidRPr="00E360ED">
        <w:rPr>
          <w:rFonts w:ascii="Times New Roman" w:hAnsi="Times New Roman" w:cs="Times New Roman"/>
          <w:b/>
          <w:color w:val="auto"/>
          <w:sz w:val="24"/>
          <w:szCs w:val="24"/>
        </w:rPr>
        <w:t>Nutrient Balance and Plant Yield</w:t>
      </w:r>
      <w:bookmarkEnd w:id="4"/>
    </w:p>
    <w:p w14:paraId="1F7EEE3A"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w:t>
      </w:r>
      <w:r w:rsidRPr="00E360ED">
        <w:rPr>
          <w:rFonts w:ascii="Times New Roman" w:hAnsi="Times New Roman" w:cs="Times New Roman"/>
          <w:sz w:val="24"/>
          <w:szCs w:val="24"/>
        </w:rPr>
        <w:lastRenderedPageBreak/>
        <w:t xml:space="preserve">fertilizer) and the amount of nutrients that are removed from the system, i.e. "the uptake of nutrients for crop and pasture production" </w:t>
      </w:r>
      <w:sdt>
        <w:sdtPr>
          <w:rPr>
            <w:rFonts w:ascii="Times New Roman" w:hAnsi="Times New Roman" w:cs="Times New Roman"/>
            <w:sz w:val="24"/>
            <w:szCs w:val="24"/>
          </w:rPr>
          <w:id w:val="-1993470489"/>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Nutrient balance is computed for the two primary nutrients, </w:t>
      </w:r>
      <w:proofErr w:type="gramStart"/>
      <w:r w:rsidRPr="00E360ED">
        <w:rPr>
          <w:rFonts w:ascii="Times New Roman" w:hAnsi="Times New Roman" w:cs="Times New Roman"/>
          <w:sz w:val="24"/>
          <w:szCs w:val="24"/>
        </w:rPr>
        <w:t>phosphorus</w:t>
      </w:r>
      <w:proofErr w:type="gramEnd"/>
      <w:r w:rsidRPr="00E360ED">
        <w:rPr>
          <w:rFonts w:ascii="Times New Roman" w:hAnsi="Times New Roman" w:cs="Times New Roman"/>
          <w:sz w:val="24"/>
          <w:szCs w:val="24"/>
        </w:rPr>
        <w:t xml:space="preserve">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77777777" w:rsidR="001A682B" w:rsidRPr="00E360ED" w:rsidRDefault="001A682B" w:rsidP="001A682B">
      <w:pPr>
        <w:pStyle w:val="Heading2"/>
        <w:spacing w:before="0" w:line="240" w:lineRule="auto"/>
        <w:rPr>
          <w:rFonts w:ascii="Times New Roman" w:hAnsi="Times New Roman" w:cs="Times New Roman"/>
          <w:b/>
          <w:color w:val="auto"/>
          <w:sz w:val="24"/>
          <w:szCs w:val="24"/>
        </w:rPr>
      </w:pPr>
      <w:bookmarkStart w:id="5" w:name="_Toc123606963"/>
      <w:r w:rsidRPr="00E360ED">
        <w:rPr>
          <w:rFonts w:ascii="Times New Roman" w:hAnsi="Times New Roman" w:cs="Times New Roman"/>
          <w:b/>
          <w:color w:val="auto"/>
          <w:sz w:val="24"/>
          <w:szCs w:val="24"/>
        </w:rPr>
        <w:t>Labor Input in Agriculture</w:t>
      </w:r>
      <w:bookmarkEnd w:id="5"/>
    </w:p>
    <w:p w14:paraId="2835DCB1"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6" w:history="1">
        <w:r w:rsidRPr="00E360ED">
          <w:rPr>
            <w:rStyle w:val="Hyperlink"/>
            <w:rFonts w:ascii="Times New Roman" w:hAnsi="Times New Roman" w:cs="Times New Roman"/>
            <w:sz w:val="24"/>
            <w:szCs w:val="24"/>
          </w:rPr>
          <w:t>https://ec.europa.eu/eurostat/web/agriculture/data/database</w:t>
        </w:r>
      </w:hyperlink>
      <w:r w:rsidRPr="00E360ED">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w:t>
      </w:r>
    </w:p>
    <w:p w14:paraId="4A169598"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5F75CF8B"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Only a tiny portion of this significant change in level may be explained by differences in agricultural </w:t>
      </w:r>
      <w:r w:rsidRPr="00E360ED">
        <w:rPr>
          <w:rFonts w:ascii="Times New Roman" w:hAnsi="Times New Roman" w:cs="Times New Roman"/>
          <w:sz w:val="24"/>
          <w:szCs w:val="24"/>
        </w:rPr>
        <w:lastRenderedPageBreak/>
        <w:t>items sold in the 12 states and relatively lower pricing overall. Therefore, despite the contrast between the two sets of nations, EU countries seem to have maintained a high output volume per labor unit.</w:t>
      </w:r>
    </w:p>
    <w:p w14:paraId="316B7DAC" w14:textId="2B63F00E" w:rsidR="001A682B" w:rsidRDefault="001A682B" w:rsidP="001A682B">
      <w:pPr>
        <w:spacing w:after="0" w:line="240" w:lineRule="auto"/>
        <w:rPr>
          <w:rFonts w:ascii="Times New Roman" w:hAnsi="Times New Roman" w:cs="Times New Roman"/>
          <w:sz w:val="24"/>
          <w:szCs w:val="24"/>
        </w:rPr>
      </w:pPr>
    </w:p>
    <w:p w14:paraId="33FD0DB9" w14:textId="77777777" w:rsidR="001A682B" w:rsidRDefault="001A682B" w:rsidP="001A682B">
      <w:pPr>
        <w:spacing w:after="0" w:line="240" w:lineRule="auto"/>
        <w:rPr>
          <w:rFonts w:ascii="Times New Roman" w:hAnsi="Times New Roman" w:cs="Times New Roman"/>
          <w:sz w:val="24"/>
          <w:szCs w:val="24"/>
        </w:rPr>
      </w:pPr>
    </w:p>
    <w:p w14:paraId="4FB55D81" w14:textId="77777777" w:rsidR="00BC0E78" w:rsidRPr="00E360ED" w:rsidRDefault="00BC0E78" w:rsidP="00BC0E78">
      <w:pPr>
        <w:pStyle w:val="Heading1"/>
        <w:spacing w:before="0" w:line="240" w:lineRule="auto"/>
        <w:jc w:val="center"/>
        <w:rPr>
          <w:rFonts w:ascii="Times New Roman" w:hAnsi="Times New Roman" w:cs="Times New Roman"/>
          <w:b/>
          <w:color w:val="auto"/>
          <w:sz w:val="24"/>
          <w:szCs w:val="24"/>
        </w:rPr>
      </w:pPr>
      <w:bookmarkStart w:id="6" w:name="_Toc123606964"/>
      <w:r w:rsidRPr="00E360ED">
        <w:rPr>
          <w:rFonts w:ascii="Times New Roman" w:hAnsi="Times New Roman" w:cs="Times New Roman"/>
          <w:b/>
          <w:color w:val="auto"/>
          <w:sz w:val="24"/>
          <w:szCs w:val="24"/>
        </w:rPr>
        <w:t>Study Methodology</w:t>
      </w:r>
      <w:bookmarkEnd w:id="6"/>
    </w:p>
    <w:p w14:paraId="7BD10197" w14:textId="77777777" w:rsidR="00BC0E78" w:rsidRPr="00E360ED" w:rsidRDefault="00BC0E78" w:rsidP="00BC0E78">
      <w:pPr>
        <w:pStyle w:val="Heading2"/>
        <w:spacing w:before="0" w:line="240" w:lineRule="auto"/>
        <w:rPr>
          <w:rFonts w:ascii="Times New Roman" w:hAnsi="Times New Roman" w:cs="Times New Roman"/>
          <w:b/>
          <w:color w:val="auto"/>
          <w:sz w:val="24"/>
          <w:szCs w:val="24"/>
        </w:rPr>
      </w:pPr>
      <w:bookmarkStart w:id="7" w:name="_Toc123606965"/>
      <w:r w:rsidRPr="00E360ED">
        <w:rPr>
          <w:rFonts w:ascii="Times New Roman" w:hAnsi="Times New Roman" w:cs="Times New Roman"/>
          <w:b/>
          <w:color w:val="auto"/>
          <w:sz w:val="24"/>
          <w:szCs w:val="24"/>
        </w:rPr>
        <w:t>Data Collection and Analysis</w:t>
      </w:r>
      <w:bookmarkEnd w:id="7"/>
    </w:p>
    <w:p w14:paraId="1C36F4FE" w14:textId="040F1C35" w:rsidR="00BC0E78" w:rsidRPr="00E360ED" w:rsidRDefault="00BC0E78" w:rsidP="00BC0E78">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 xml:space="preserve">The data was downloaded from the EU agricultural sector database accessible: </w:t>
      </w:r>
      <w:hyperlink r:id="rId7" w:history="1">
        <w:r w:rsidRPr="00E360ED">
          <w:rPr>
            <w:rStyle w:val="Hyperlink"/>
            <w:rFonts w:ascii="Times New Roman" w:hAnsi="Times New Roman" w:cs="Times New Roman"/>
            <w:sz w:val="24"/>
            <w:szCs w:val="24"/>
          </w:rPr>
          <w:t>https://ec.europa.eu/eurostat/web/agriculture/data/database</w:t>
        </w:r>
      </w:hyperlink>
      <w:r w:rsidRPr="00E360ED">
        <w:rPr>
          <w:rFonts w:ascii="Times New Roman" w:hAnsi="Times New Roman" w:cs="Times New Roman"/>
          <w:sz w:val="24"/>
          <w:szCs w:val="24"/>
        </w:rPr>
        <w:t xml:space="preserve">. The data were transferred to Microsoft Excel for tabulation and exported to </w:t>
      </w:r>
      <w:r w:rsidR="0019210A" w:rsidRPr="00E360ED">
        <w:rPr>
          <w:rFonts w:ascii="Times New Roman" w:hAnsi="Times New Roman" w:cs="Times New Roman"/>
          <w:sz w:val="24"/>
          <w:szCs w:val="24"/>
        </w:rPr>
        <w:t>Jupiter</w:t>
      </w:r>
      <w:r w:rsidRPr="00E360ED">
        <w:rPr>
          <w:rFonts w:ascii="Times New Roman" w:hAnsi="Times New Roman" w:cs="Times New Roman"/>
          <w:sz w:val="24"/>
          <w:szCs w:val="24"/>
        </w:rPr>
        <w:t xml:space="preserve"> notebook using the pandas function for further analysis. The first step was to obtain descriptive statistics. From there, five inferential statistical tests were conducted to test the difference between the three countries regarding production, nutrient </w:t>
      </w:r>
      <w:r w:rsidR="0019210A" w:rsidRPr="00E360ED">
        <w:rPr>
          <w:rFonts w:ascii="Times New Roman" w:hAnsi="Times New Roman" w:cs="Times New Roman"/>
          <w:sz w:val="24"/>
          <w:szCs w:val="24"/>
        </w:rPr>
        <w:t>balance,</w:t>
      </w:r>
      <w:r w:rsidRPr="00E360ED">
        <w:rPr>
          <w:rFonts w:ascii="Times New Roman" w:hAnsi="Times New Roman" w:cs="Times New Roman"/>
          <w:sz w:val="24"/>
          <w:szCs w:val="24"/>
        </w:rPr>
        <w:t xml:space="preserve"> and labor input. Independent sample t-test, paired sample t-test, one sample t-test, and Wilcoxon test compared </w:t>
      </w:r>
      <w:r w:rsidR="00282C1D">
        <w:rPr>
          <w:rFonts w:ascii="Times New Roman" w:hAnsi="Times New Roman" w:cs="Times New Roman"/>
          <w:sz w:val="24"/>
          <w:szCs w:val="24"/>
        </w:rPr>
        <w:t>I</w:t>
      </w:r>
      <w:r w:rsidRPr="00E360ED">
        <w:rPr>
          <w:rFonts w:ascii="Times New Roman" w:hAnsi="Times New Roman" w:cs="Times New Roman"/>
          <w:sz w:val="24"/>
          <w:szCs w:val="24"/>
        </w:rPr>
        <w:t>reland and Spain, while ANOVA compared Ireland, Spain, and France. A correlation matrix and regression analysis were also conducted to establish the relationship and association between various variables. Lastly, GridSearchCV was conducted for Gradient Boosting Regressor and XGB Regressor to examine further the impact of nutrient balance and labor input on agricultural production.</w:t>
      </w:r>
    </w:p>
    <w:p w14:paraId="036186EC" w14:textId="77777777" w:rsidR="00BC0E78" w:rsidRPr="00E360ED" w:rsidRDefault="00BC0E78" w:rsidP="00BC0E78">
      <w:pPr>
        <w:pStyle w:val="Heading2"/>
        <w:spacing w:before="0" w:line="240" w:lineRule="auto"/>
        <w:rPr>
          <w:rFonts w:ascii="Times New Roman" w:hAnsi="Times New Roman" w:cs="Times New Roman"/>
          <w:b/>
          <w:color w:val="auto"/>
          <w:sz w:val="24"/>
          <w:szCs w:val="24"/>
        </w:rPr>
      </w:pPr>
      <w:bookmarkStart w:id="8" w:name="_Toc123606966"/>
      <w:r w:rsidRPr="00E360ED">
        <w:rPr>
          <w:rFonts w:ascii="Times New Roman" w:hAnsi="Times New Roman" w:cs="Times New Roman"/>
          <w:b/>
          <w:color w:val="auto"/>
          <w:sz w:val="24"/>
          <w:szCs w:val="24"/>
        </w:rPr>
        <w:t>Output Visualization and Presentation</w:t>
      </w:r>
      <w:bookmarkEnd w:id="8"/>
    </w:p>
    <w:p w14:paraId="4F81CC9F" w14:textId="02A75AC5" w:rsidR="00BC0E78" w:rsidRDefault="00BC0E78" w:rsidP="00BC0E78">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 xml:space="preserve">The analysis process used Matplotlib to create the graphical presentations needed. The figures obtained were copy-pasted to this report. Additionally, the figures obtained from various analyses (the t-statistic and p-value for t-test analysis) were tabulated and provided in the results section of this report. Each figure and table </w:t>
      </w:r>
      <w:r w:rsidR="00C72B20" w:rsidRPr="00E360ED">
        <w:rPr>
          <w:rFonts w:ascii="Times New Roman" w:hAnsi="Times New Roman" w:cs="Times New Roman"/>
          <w:sz w:val="24"/>
          <w:szCs w:val="24"/>
        </w:rPr>
        <w:t>have</w:t>
      </w:r>
      <w:r w:rsidRPr="00E360ED">
        <w:rPr>
          <w:rFonts w:ascii="Times New Roman" w:hAnsi="Times New Roman" w:cs="Times New Roman"/>
          <w:sz w:val="24"/>
          <w:szCs w:val="24"/>
        </w:rPr>
        <w:t xml:space="preserve"> a clear caption stating what it presents.</w:t>
      </w:r>
    </w:p>
    <w:p w14:paraId="6951EBA4" w14:textId="77777777" w:rsidR="00FC41A1" w:rsidRPr="00E360ED" w:rsidRDefault="00FC41A1" w:rsidP="00BC0E78">
      <w:pPr>
        <w:spacing w:after="0" w:line="240" w:lineRule="auto"/>
        <w:ind w:firstLine="720"/>
        <w:rPr>
          <w:rFonts w:ascii="Times New Roman" w:hAnsi="Times New Roman" w:cs="Times New Roman"/>
          <w:sz w:val="24"/>
          <w:szCs w:val="24"/>
        </w:rPr>
      </w:pPr>
    </w:p>
    <w:p w14:paraId="22BC1687" w14:textId="77777777" w:rsidR="001A682B" w:rsidRPr="001A682B" w:rsidRDefault="001A682B" w:rsidP="001A682B">
      <w:pPr>
        <w:spacing w:after="0" w:line="240" w:lineRule="auto"/>
        <w:rPr>
          <w:rFonts w:ascii="Times New Roman" w:hAnsi="Times New Roman" w:cs="Times New Roman"/>
          <w:sz w:val="24"/>
          <w:szCs w:val="24"/>
        </w:rPr>
      </w:pPr>
    </w:p>
    <w:p w14:paraId="3FEC4F0D" w14:textId="77777777" w:rsidR="001A682B" w:rsidRDefault="001A682B"/>
    <w:sectPr w:rsidR="001A6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7178C"/>
    <w:rsid w:val="0019210A"/>
    <w:rsid w:val="001A682B"/>
    <w:rsid w:val="00282C1D"/>
    <w:rsid w:val="00BC0E78"/>
    <w:rsid w:val="00C72B20"/>
    <w:rsid w:val="00CA7EA1"/>
    <w:rsid w:val="00FC41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c.europa.eu/eurostat/web/agriculture/data/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web/agriculture/data/dat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6</cp:revision>
  <dcterms:created xsi:type="dcterms:W3CDTF">2023-01-03T03:03:00Z</dcterms:created>
  <dcterms:modified xsi:type="dcterms:W3CDTF">2023-01-03T03:18:00Z</dcterms:modified>
</cp:coreProperties>
</file>