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Proposta</w:t>
      </w:r>
      <w:r>
        <w:t xml:space="preserve"> </w:t>
      </w:r>
      <w:r>
        <w:t xml:space="preserve">Comercial</w:t>
      </w:r>
    </w:p>
    <w:p>
      <w:pPr>
        <w:pStyle w:val="Subtitle"/>
      </w:pPr>
      <w:r>
        <w:t xml:space="preserve">Desenvolvimento</w:t>
      </w:r>
      <w:r>
        <w:t xml:space="preserve"> </w:t>
      </w:r>
      <w:r>
        <w:t xml:space="preserve">da</w:t>
      </w:r>
      <w:r>
        <w:t xml:space="preserve"> </w:t>
      </w:r>
      <w:r>
        <w:t xml:space="preserve">Plataforma</w:t>
      </w:r>
      <w:r>
        <w:t xml:space="preserve"> </w:t>
      </w:r>
      <w:r>
        <w:t xml:space="preserve">Tecnológica</w:t>
      </w:r>
      <w:r>
        <w:t xml:space="preserve"> </w:t>
      </w:r>
      <w:r>
        <w:t xml:space="preserve">do</w:t>
      </w:r>
      <w:r>
        <w:t xml:space="preserve"> </w:t>
      </w:r>
      <w:r>
        <w:t xml:space="preserve">Observatório</w:t>
      </w:r>
      <w:r>
        <w:t xml:space="preserve"> </w:t>
      </w:r>
      <w:r>
        <w:t xml:space="preserve">FBA</w:t>
      </w:r>
      <w:r>
        <w:t xml:space="preserve"> </w:t>
      </w:r>
      <w:r>
        <w:t xml:space="preserve">do</w:t>
      </w:r>
      <w:r>
        <w:t xml:space="preserve"> </w:t>
      </w:r>
      <w:r>
        <w:t xml:space="preserve">Esporte</w:t>
      </w:r>
      <w:r>
        <w:t xml:space="preserve"> </w:t>
      </w:r>
      <w:r>
        <w:t xml:space="preserve">Social</w:t>
      </w:r>
      <w:r>
        <w:t xml:space="preserve"> </w:t>
      </w:r>
      <w:r>
        <w:t xml:space="preserve">e</w:t>
      </w:r>
      <w:r>
        <w:t xml:space="preserve"> </w:t>
      </w:r>
      <w:r>
        <w:t xml:space="preserve">da</w:t>
      </w:r>
      <w:r>
        <w:t xml:space="preserve"> </w:t>
      </w:r>
      <w:r>
        <w:t xml:space="preserve">Mobilidade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Brasil Automobilidade Global – FBA Global (CNPJ 57.850.031/0001-59)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 de Referência para Cotação — Plataforma Tecnológica do Observatório FBA (Goiânia/GO,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técnico 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I — Requisitos Refinados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Validade da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— rascunho para revisão interna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Apresentação</w:t>
      </w:r>
    </w:p>
    <w:p>
      <w:pPr>
        <w:pStyle w:val="FirstParagraph"/>
      </w:pPr>
      <w:r>
        <w:t xml:space="preserve">A NatGED apresenta sua proposta para levantamento de requisitos, UX/UI, desenvolvimento, testes, implantação, documentação, treinamento, hospedagem, backup, suporte e manutenção da Plataforma Tecnológica do Observatório FBA. A proposta cobre integralmente o escopo do Termo de Referência (TR), conforme TR §18.</w:t>
      </w:r>
    </w:p>
    <w:p>
      <w:pPr>
        <w:pStyle w:val="BodyText"/>
      </w:pPr>
      <w:r>
        <w:t xml:space="preserve">A modalidade proposta é</w:t>
      </w:r>
      <w:r>
        <w:t xml:space="preserve"> </w:t>
      </w:r>
      <w:r>
        <w:rPr>
          <w:bCs/>
          <w:b/>
        </w:rPr>
        <w:t xml:space="preserve">desenvolvimento sob encomenda</w:t>
      </w:r>
      <w:r>
        <w:t xml:space="preserve">, com entrega à FBA Global do código-fonte, banco de dados, documentação, credenciais e direitos patrimoniais sobre o código desenvolvido. Isso atende à preferência expressa no TR §9 e garante a operação independente da plataforma.</w:t>
      </w:r>
    </w:p>
    <w:p>
      <w:pPr>
        <w:pStyle w:val="BodyText"/>
      </w:pPr>
      <w:r>
        <w:t xml:space="preserve">A solução usa exclusivamente</w:t>
      </w:r>
      <w:r>
        <w:t xml:space="preserve"> </w:t>
      </w:r>
      <w:r>
        <w:rPr>
          <w:bCs/>
          <w:b/>
        </w:rPr>
        <w:t xml:space="preserve">tecnologias open source consolidadas</w:t>
      </w:r>
      <w:r>
        <w:t xml:space="preserve">. Não há licença de software com custo recorrente. Os únicos custos recorrentes são a infraestrutura em nuvem e os serviços de operação, discriminados nas seções 5 e 6.</w:t>
      </w:r>
    </w:p>
    <w:p>
      <w:pPr>
        <w:pStyle w:val="Heading2"/>
      </w:pPr>
      <w:r>
        <w:t xml:space="preserve">2. Solução proposta (resumo)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5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Institucional, organizações, projetos, eventos, mapa, calendário, indicadores, publicações, notícias e contato, com CMS para a equipe FBA publicar sem programador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restrita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Autocadastro e perfil da organização, projetos, eventos, atividades, capacitações, perfil de mobilidade, evidências, formulários e relatórios dos próprios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validação (enviar → analisar → aprovar → publicar), gestão de cadastros, construtor de formulários, indicadores, relatórios, usuários, grupos, parâmetros e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até 30 indicadores pré-definidos, com filtros dinâmicos, dashboard público e interno, calculados sobre registros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e 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HTTPS, senhas com Argon2, 2FA obrigatório para a equipe FBA, controle por perfil e por objeto, trilha de auditoria imutável, canal do titular, dados de beneficiários apenas agregados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AA no portal e na área restrita, testes com leitores de tela, VLibras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documentada (OpenAPI 3), com autenticação por token e endpoints públicos de dados abertos</w:t>
            </w:r>
          </w:p>
        </w:tc>
      </w:tr>
    </w:tbl>
    <w:p>
      <w:pPr>
        <w:pStyle w:val="BodyText"/>
      </w:pPr>
      <w:r>
        <w:t xml:space="preserve">O detalhamento completo, com requisitos numerados e critérios de aceite, está no documento Requisitos Refinados (Anexo I), que integra esta proposta.</w:t>
      </w:r>
    </w:p>
    <w:p>
      <w:pPr>
        <w:pStyle w:val="Heading2"/>
      </w:pPr>
      <w:r>
        <w:t xml:space="preserve">3. Arquitetura e tecnologias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3"/>
        <w:gridCol w:w="3763"/>
        <w:gridCol w:w="28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3.12, Django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REST Framework + OpenAPI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+ PostGIS (relacional, com extensão geoespacial)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PostgreSQL/GPL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semântico + HTMX + Alpine.js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MIT/BSD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MapLibre/Leaflet + OpenStreetMap; geocodificação Nominatim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BSD/ODbL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Calendário e 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FullCalendar, Apache 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MIT/Apache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SurveyJS Form Library (ou Form.io) + construtor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WeasyPrint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Tarefas assíncronas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—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Docker em nuvem pública,</w:t>
            </w:r>
            <w:r>
              <w:t xml:space="preserve"> </w:t>
            </w:r>
            <w:r>
              <w:rPr>
                <w:bCs/>
                <w:b/>
              </w:rPr>
              <w:t xml:space="preserve">região São Paulo</w:t>
            </w:r>
            <w:r>
              <w:t xml:space="preserve"> </w:t>
            </w:r>
            <w:r>
              <w:t xml:space="preserve">(AWS ou equivalente), com infraestrutura como código (Terraform)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nuvem — custo recorrente (item 18)</w:t>
            </w:r>
          </w:p>
        </w:tc>
      </w:tr>
    </w:tbl>
    <w:p>
      <w:pPr>
        <w:pStyle w:val="BodyText"/>
      </w:pPr>
      <w:r>
        <w:t xml:space="preserve">Justificativa do banco relacional (TR §8): os dados do Observatório são fortemente relacionados (organizações → projetos → atividades → evidências), exigem integridade referencial, trilha de auditoria e consultas analíticas. O PostGIS dá consultas geoespaciais nativas para o mapa e os indicadores territoriais.</w:t>
      </w:r>
    </w:p>
    <w:p>
      <w:pPr>
        <w:pStyle w:val="Heading2"/>
      </w:pPr>
      <w:r>
        <w:t xml:space="preserve">4. Equipe e forma de execução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64"/>
        <w:gridCol w:w="2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Dedicação estimada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lead / arquiteto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Desenvolvedores full-stack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 UX/UI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de testes (QA) e 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/ 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2.695 h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entregas incrementais em sprints de 2 semanas, com ambiente de homologação atualizado e demonstrações quinzenais à FBA.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Valor-hora:</w:t>
      </w:r>
      <w:r>
        <w:t xml:space="preserve"> </w:t>
      </w:r>
      <w:r>
        <w:t xml:space="preserve">único (</w:t>
      </w:r>
      <w:r>
        <w:rPr>
          <w:iCs/>
          <w:i/>
        </w:rPr>
        <w:t xml:space="preserve">blended</w:t>
      </w:r>
      <w:r>
        <w:t xml:space="preserve">) de</w:t>
      </w:r>
      <w:r>
        <w:t xml:space="preserve"> </w:t>
      </w:r>
      <w:r>
        <w:rPr>
          <w:bCs/>
          <w:b/>
        </w:rPr>
        <w:t xml:space="preserve">R$ 160,00</w:t>
      </w:r>
      <w:r>
        <w:t xml:space="preserve"> </w:t>
      </w:r>
      <w:r>
        <w:t xml:space="preserve">para todos os perfis.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Produtividade:</w:t>
      </w:r>
      <w:r>
        <w:t xml:space="preserve"> </w:t>
      </w:r>
      <w:r>
        <w:t xml:space="preserve">as estimativas consideram o uso de recursos nativos do Django e do Wagtail (painel administrativo, CMS, permissões, versionamento e auditoria) e de bibliotecas prontas para formulários, mapas e gráficos. Isso reduz o esforço de desenvolvimento sem reduzir o escopo.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todo o desenvolvimento é feito por equipe própria da NatGED. Os únicos serviços contratados de terceiros são os de nuvem e e-mail, listados na seção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Proposta de preços — estrutura do TR §15</w:t>
      </w:r>
    </w:p>
    <w:p>
      <w:pPr>
        <w:pStyle w:val="Heading3"/>
      </w:pPr>
      <w:r>
        <w:t xml:space="preserve">5.1 Desenvolvimento e implantação (valores não recorrentes)</w:t>
      </w:r>
    </w:p>
    <w:p>
      <w:pPr>
        <w:pStyle w:val="FirstParagraph"/>
      </w:pPr>
      <w:r>
        <w:t xml:space="preserve">As horas de cada componente já incluem a parcela proporcional de gestão do projeto.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3"/>
        <w:gridCol w:w="4814"/>
        <w:gridCol w:w="1009"/>
        <w:gridCol w:w="1552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(R$)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Levantamento e arquitetura da informação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21.120,00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UX/UI e protótipo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do portal público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31.680,00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restrita das organizações 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36.960,00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administrativo 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36.960,00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14.080,00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projetos e eventos 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31.680,00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10.560,00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e georreferenciamento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e dashboards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31.680,00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e exportações (inclui API)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24.640,00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Formulários e pesquisas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segurança e logs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24.640,00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 digital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e homologação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31.680,00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e treinamento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19.360,00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Implantação 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16.560,00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— desenvolvimento e implantação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2.695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437.200,00</w:t>
            </w:r>
          </w:p>
        </w:tc>
      </w:tr>
    </w:tbl>
    <w:p>
      <w:pPr>
        <w:pStyle w:val="BodyText"/>
      </w:pPr>
      <w:r>
        <w:t xml:space="preserve">¹ Inclui cadastro de organizações e gestão de evidências (itens do TR sem linha própria na tabela).</w:t>
      </w:r>
      <w:r>
        <w:t xml:space="preserve"> </w:t>
      </w:r>
      <w:r>
        <w:t xml:space="preserve">² Inclui workflow de validação, notificações por e-mail, gestão de usuários e parâmetros.</w:t>
      </w:r>
      <w:r>
        <w:t xml:space="preserve"> </w:t>
      </w:r>
      <w:r>
        <w:t xml:space="preserve">³ Inclui atividades, capacitações e perfil de mobilidade.</w:t>
      </w:r>
      <w:r>
        <w:t xml:space="preserve"> </w:t>
      </w:r>
      <w:r>
        <w:t xml:space="preserve">⁴ 66 h (R$ 10.560,00) + R$ 6.000,00 de infraestrutura de homologação durante o desenvolvimento (6 meses).</w:t>
      </w:r>
    </w:p>
    <w:p>
      <w:pPr>
        <w:pStyle w:val="Heading3"/>
      </w:pPr>
      <w:r>
        <w:t xml:space="preserve">5.2 Operação por 24 meses (valores recorrentes)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8"/>
        <w:gridCol w:w="3293"/>
        <w:gridCol w:w="1803"/>
        <w:gridCol w:w="548"/>
        <w:gridCol w:w="172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mensal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total (R$)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Hospedagem cloud — 24 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e segurança — 24 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15.360,00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e manutenção — 24 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57.600,00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— operação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4.340,00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104.160,00</w:t>
            </w:r>
          </w:p>
        </w:tc>
      </w:tr>
    </w:tbl>
    <w:p>
      <w:pPr>
        <w:pStyle w:val="Heading3"/>
      </w:pPr>
      <w:r>
        <w:t xml:space="preserve">5.3 Total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(R$)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Desenvolvimento e implantação (itens 1–17)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437.200,00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Operação por 24 meses (itens 18–20)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104.160,00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541.360,00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Valor total: R$ 541.360,00</w:t>
      </w:r>
      <w:r>
        <w:t xml:space="preserve"> </w:t>
      </w:r>
      <w:r>
        <w:t xml:space="preserve">(quinhentos e quarenta e um mil, trezentos e sessenta reais).</w:t>
      </w:r>
    </w:p>
    <w:p>
      <w:pPr>
        <w:pStyle w:val="Heading3"/>
      </w:pPr>
      <w:r>
        <w:t xml:space="preserve">5.4 Composição dos itens recorrentes</w:t>
      </w:r>
    </w:p>
    <w:p>
      <w:pPr>
        <w:pStyle w:val="FirstParagraph"/>
      </w:pPr>
      <w:r>
        <w:rPr>
          <w:bCs/>
          <w:b/>
        </w:rPr>
        <w:t xml:space="preserve">Item 18 — Hospedagem cloud (R$ 1.300,00/mês)</w:t>
      </w:r>
    </w:p>
    <w:p>
      <w:pPr>
        <w:numPr>
          <w:ilvl w:val="0"/>
          <w:numId w:val="1002"/>
        </w:numPr>
        <w:pStyle w:val="Compact"/>
      </w:pPr>
      <w:r>
        <w:t xml:space="preserve">Ambiente de produção: 2 containers de aplicação, 1 worker, PostgreSQL gerenciado, Redis, storage de objetos (≥ 10 GB, elástico), balanceador HTTPS e CDN/WAF.</w:t>
      </w:r>
    </w:p>
    <w:p>
      <w:pPr>
        <w:numPr>
          <w:ilvl w:val="0"/>
          <w:numId w:val="1002"/>
        </w:numPr>
        <w:pStyle w:val="Compact"/>
      </w:pPr>
      <w:r>
        <w:t xml:space="preserve">Ambiente de homologação reduzido.</w:t>
      </w:r>
    </w:p>
    <w:p>
      <w:pPr>
        <w:numPr>
          <w:ilvl w:val="0"/>
          <w:numId w:val="1002"/>
        </w:numPr>
        <w:pStyle w:val="Compact"/>
      </w:pPr>
      <w:r>
        <w:t xml:space="preserve">E-mail transacional (até 10 mil envios por mês).</w:t>
      </w:r>
    </w:p>
    <w:p>
      <w:pPr>
        <w:numPr>
          <w:ilvl w:val="0"/>
          <w:numId w:val="1002"/>
        </w:numPr>
        <w:pStyle w:val="Compact"/>
      </w:pPr>
      <w:r>
        <w:t xml:space="preserve">Custo de nuvem repassado mais a administração da infraestrutura.</w:t>
      </w:r>
    </w:p>
    <w:p>
      <w:pPr>
        <w:numPr>
          <w:ilvl w:val="0"/>
          <w:numId w:val="1002"/>
        </w:numPr>
        <w:pStyle w:val="Compact"/>
      </w:pPr>
      <w:r>
        <w:t xml:space="preserve">Contas abertas em nome da FBA Global.</w:t>
      </w:r>
    </w:p>
    <w:p>
      <w:pPr>
        <w:pStyle w:val="FirstParagraph"/>
      </w:pPr>
      <w:r>
        <w:rPr>
          <w:bCs/>
          <w:b/>
        </w:rPr>
        <w:t xml:space="preserve">Item 19 — Backup e segurança (R$ 640,00/mês)</w:t>
      </w:r>
    </w:p>
    <w:p>
      <w:pPr>
        <w:numPr>
          <w:ilvl w:val="0"/>
          <w:numId w:val="1003"/>
        </w:numPr>
        <w:pStyle w:val="Compact"/>
      </w:pPr>
      <w:r>
        <w:t xml:space="preserve">Backup diário do banco e dos arquivos, com retenção de 30 dias diários e 12 mensais, em conta/região separada e criptografado.</w:t>
      </w:r>
    </w:p>
    <w:p>
      <w:pPr>
        <w:numPr>
          <w:ilvl w:val="0"/>
          <w:numId w:val="1003"/>
        </w:numPr>
        <w:pStyle w:val="Compact"/>
      </w:pPr>
      <w:r>
        <w:t xml:space="preserve">Monitoramento 24×7 de disponibilidade e erros.</w:t>
      </w:r>
    </w:p>
    <w:p>
      <w:pPr>
        <w:numPr>
          <w:ilvl w:val="0"/>
          <w:numId w:val="1003"/>
        </w:numPr>
        <w:pStyle w:val="Compact"/>
      </w:pPr>
      <w:r>
        <w:t xml:space="preserve">Aplicação mensal de atualizações de segurança (críticas em até 72 h) e varredura de vulnerabilidades.</w:t>
      </w:r>
    </w:p>
    <w:p>
      <w:pPr>
        <w:numPr>
          <w:ilvl w:val="0"/>
          <w:numId w:val="1003"/>
        </w:numPr>
        <w:pStyle w:val="Compact"/>
      </w:pPr>
      <w:r>
        <w:t xml:space="preserve">Teste semestral de restauração.</w:t>
      </w:r>
    </w:p>
    <w:p>
      <w:pPr>
        <w:numPr>
          <w:ilvl w:val="0"/>
          <w:numId w:val="1003"/>
        </w:numPr>
        <w:pStyle w:val="Compact"/>
      </w:pPr>
      <w:r>
        <w:t xml:space="preserve">Relatório mensal.</w:t>
      </w:r>
    </w:p>
    <w:p>
      <w:pPr>
        <w:numPr>
          <w:ilvl w:val="0"/>
          <w:numId w:val="1003"/>
        </w:numPr>
        <w:pStyle w:val="Compact"/>
      </w:pPr>
      <w:r>
        <w:t xml:space="preserve">Inclui 3 h/mês de atividades técnicas.</w:t>
      </w:r>
    </w:p>
    <w:p>
      <w:pPr>
        <w:pStyle w:val="FirstParagraph"/>
      </w:pPr>
      <w:r>
        <w:rPr>
          <w:bCs/>
          <w:b/>
        </w:rPr>
        <w:t xml:space="preserve">Item 20 — Suporte e manutenção (R$ 2.400,00/mês)</w:t>
      </w:r>
    </w:p>
    <w:p>
      <w:pPr>
        <w:numPr>
          <w:ilvl w:val="0"/>
          <w:numId w:val="1004"/>
        </w:numPr>
        <w:pStyle w:val="Compact"/>
      </w:pPr>
      <w:r>
        <w:t xml:space="preserve">Franquia de</w:t>
      </w:r>
      <w:r>
        <w:t xml:space="preserve"> </w:t>
      </w:r>
      <w:r>
        <w:rPr>
          <w:bCs/>
          <w:b/>
        </w:rPr>
        <w:t xml:space="preserve">15 h/mês</w:t>
      </w:r>
      <w:r>
        <w:t xml:space="preserve"> </w:t>
      </w:r>
      <w:r>
        <w:t xml:space="preserve">para atendimento a usuários e à equipe FBA, manutenção corretiva fora da garantia, pequenos ajustes, apoio operacional e atualização de versões de frameworks.</w:t>
      </w:r>
    </w:p>
    <w:p>
      <w:pPr>
        <w:numPr>
          <w:ilvl w:val="0"/>
          <w:numId w:val="1004"/>
        </w:numPr>
        <w:pStyle w:val="Compact"/>
      </w:pPr>
      <w:r>
        <w:t xml:space="preserve">Horas não utilizadas acumulam dentro do trimestre.</w:t>
      </w:r>
    </w:p>
    <w:p>
      <w:pPr>
        <w:numPr>
          <w:ilvl w:val="0"/>
          <w:numId w:val="1004"/>
        </w:numPr>
        <w:pStyle w:val="Compact"/>
      </w:pPr>
      <w:r>
        <w:t xml:space="preserve">Horas excedentes: R$ 160,00/h, mediante aprovação prévia.</w:t>
      </w:r>
    </w:p>
    <w:p>
      <w:pPr>
        <w:numPr>
          <w:ilvl w:val="0"/>
          <w:numId w:val="1004"/>
        </w:numPr>
        <w:pStyle w:val="Compact"/>
      </w:pPr>
      <w:r>
        <w:t xml:space="preserve">SLA conforme a seção 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Serviços opcionais (fora do total)</w:t>
      </w:r>
    </w:p>
    <w:p>
      <w:pPr>
        <w:pStyle w:val="FirstParagraph"/>
      </w:pPr>
      <w:r>
        <w:t xml:space="preserve">Estes serviços não fazem parte do total e podem ser contratados a qualquer momento (TR §15).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3"/>
        <w:gridCol w:w="2970"/>
        <w:gridCol w:w="533"/>
        <w:gridCol w:w="2208"/>
        <w:gridCol w:w="1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opcional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Construtor de indicadores: criação de novos indicadores pelo administrador, com fórmulas sobre campos e respostas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avançado: Metabase embarcado para análises livres da equipe FBA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R$ 300,00/mês de infraestrutura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 independente: teste de intrusão por empresa terceira especializada, antes da produção, com correções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22.560,00 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Notificações por WhatsApp (WhatsApp Business API)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tarifas da Meta por conversa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de dados legados: levantamento, limpeza e carga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sob demanda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R$ 160,00/h (estimativa após análise da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conta Gov.br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com preenchimento offline de formulários e sincronização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adicional: turma de 3 h, remota e gravada, incluindo preparação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960,00 por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horas para manutenção evolutiva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sob demanda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R$ 160,00/h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⁵ R$ 20.000,00 do serviço terceirizado + 16 h de coordenação e correções (R$ 2.560,00).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Serviços de terceiros, licenças e natureza do fornecimento (TR §18)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2"/>
        <w:gridCol w:w="1097"/>
        <w:gridCol w:w="1725"/>
        <w:gridCol w:w="1568"/>
        <w:gridCol w:w="627"/>
        <w:gridCol w:w="5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Incluído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Desenvolvimento, testes, documentação e 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itens 1–17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1–17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Suporte, manutenção 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itens 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19–20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Computação, banco, storage, balanceador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Contratado em 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(região São Paulo) ou equivalente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R$ 1.100,00/mês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/ 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Contratado em 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 a R$ 120,00/mês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transacional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Contratado em 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SES ou Brevo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R$ 80,00/mês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Monitoramento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Contratado em nuvem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 (plano gratuito)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Mapas (tiles) e geocodificação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/ Nominatim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/ AWS ACM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Tradução em Libras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VLibras (Gov.br)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Licenças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R$ 0</w:t>
            </w:r>
            <w:r>
              <w:t xml:space="preserve"> </w:t>
            </w:r>
            <w:r>
              <w:t xml:space="preserve">(stack 100% open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da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~R$ 40,00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incluído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 recorrente de API de mapas (TR §6.5): zero.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8. Cronograma</w:t>
      </w:r>
    </w:p>
    <w:p>
      <w:pPr>
        <w:pStyle w:val="FirstParagraph"/>
      </w:pPr>
      <w:r>
        <w:t xml:space="preserve">O prazo é de</w:t>
      </w:r>
      <w:r>
        <w:t xml:space="preserve"> </w:t>
      </w:r>
      <w:r>
        <w:rPr>
          <w:bCs/>
          <w:b/>
        </w:rPr>
        <w:t xml:space="preserve">24 semanas</w:t>
      </w:r>
      <w:r>
        <w:t xml:space="preserve"> </w:t>
      </w:r>
      <w:r>
        <w:t xml:space="preserve">até o aceite definitivo, seguido de</w:t>
      </w:r>
      <w:r>
        <w:t xml:space="preserve"> </w:t>
      </w:r>
      <w:r>
        <w:rPr>
          <w:bCs/>
          <w:b/>
        </w:rPr>
        <w:t xml:space="preserve">24 meses de operação assistida</w:t>
      </w:r>
      <w:r>
        <w:t xml:space="preserve">.</w:t>
      </w:r>
    </w:p>
    <w:p>
      <w:pPr>
        <w:pStyle w:val="BodyText"/>
      </w:pPr>
      <w:r>
        <w:t xml:space="preserve">O cronograma de referência do TR previa 22 semanas. Ajustamos para 24 porque a fase 4 do TR concentrava cinco módulos (mapa, calendário, dashboards, relatórios e pesquisas) em apenas 2 semanas. Nesta proposta, esses módulos avançam em paralelo ao desenvolvimento base.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1"/>
        <w:gridCol w:w="871"/>
        <w:gridCol w:w="3643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Descoberta e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Requisitos, arquitetura da informação, catálogo de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dos 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UX/UI e protótipo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Protótipo navegável e design system acessível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Homologação do protótipo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Desenvolvimento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Banco, autenticação, área restrita, painel, projetos, eventos,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da versão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Portal e módulos analíticos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Portal/CMS, mapa, calendário, formulários, evidências, dashboards,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funcional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Testes e homologação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funcionais, de segurança, de acessibilidade e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homologável aceita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Implantação e 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Produção, documentação, treinamentos, entrega de código e credenciais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Aceite definitivo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Operação assistida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7 ao mês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Hospedagem, backup, monitoramento, suporte e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mensais</w:t>
            </w:r>
          </w:p>
        </w:tc>
      </w:tr>
    </w:tbl>
    <w:p>
      <w:pPr>
        <w:pStyle w:val="BodyText"/>
      </w:pPr>
      <w:r>
        <w:t xml:space="preserve">O cronograma depende do cumprimento dos prazos da FBA Global (seção 12). Atrasos nessas dependências deslocam o cronograma na mesma proporção.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9. Garantia e SLA</w:t>
      </w:r>
    </w:p>
    <w:p>
      <w:pPr>
        <w:pStyle w:val="Heading3"/>
      </w:pPr>
      <w:r>
        <w:t xml:space="preserve">9.1 Garantia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24 meses</w:t>
      </w:r>
      <w:r>
        <w:t xml:space="preserve"> </w:t>
      </w:r>
      <w:r>
        <w:t xml:space="preserve">contados do aceite definitivo, para correção sem custo de defeitos e não conformidades em relação aos requisitos aceitos (TR §13).</w:t>
      </w:r>
    </w:p>
    <w:p>
      <w:pPr>
        <w:numPr>
          <w:ilvl w:val="0"/>
          <w:numId w:val="1005"/>
        </w:numPr>
        <w:pStyle w:val="Compact"/>
      </w:pPr>
      <w:r>
        <w:t xml:space="preserve">Não estão cobertos pela garantia:</w:t>
      </w:r>
    </w:p>
    <w:p>
      <w:pPr>
        <w:numPr>
          <w:ilvl w:val="1"/>
          <w:numId w:val="1006"/>
        </w:numPr>
        <w:pStyle w:val="Compact"/>
      </w:pPr>
      <w:r>
        <w:t xml:space="preserve">novas funcionalidades e mudanças de regra de negócio;</w:t>
      </w:r>
    </w:p>
    <w:p>
      <w:pPr>
        <w:numPr>
          <w:ilvl w:val="1"/>
          <w:numId w:val="1006"/>
        </w:numPr>
        <w:pStyle w:val="Compact"/>
      </w:pPr>
      <w:r>
        <w:t xml:space="preserve">falhas causadas por alterações de terceiros no código ou na infraestrutura;</w:t>
      </w:r>
    </w:p>
    <w:p>
      <w:pPr>
        <w:numPr>
          <w:ilvl w:val="1"/>
          <w:numId w:val="1006"/>
        </w:numPr>
        <w:pStyle w:val="Compact"/>
      </w:pPr>
      <w:r>
        <w:t xml:space="preserve">custos de infraestrutura após o período contratado no item 18.</w:t>
      </w:r>
    </w:p>
    <w:p>
      <w:pPr>
        <w:pStyle w:val="Heading3"/>
      </w:pPr>
      <w:r>
        <w:t xml:space="preserve">9.2 SLA de suporte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4039"/>
        <w:gridCol w:w="1584"/>
        <w:gridCol w:w="15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 ou contorno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fora do ar, incidente de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 principal indisponível, sem contorno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com contorno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dia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Dúvida, ajuste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Próxima versão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Atendimento:</w:t>
      </w:r>
      <w:r>
        <w:t xml:space="preserve"> </w:t>
      </w:r>
      <w:r>
        <w:t xml:space="preserve">dias úteis, das 8h às 18h (horário de Brasília), por e-mail e sistema de chamados.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Monitoramento automatizado:</w:t>
      </w:r>
      <w:r>
        <w:t xml:space="preserve"> </w:t>
      </w:r>
      <w:r>
        <w:t xml:space="preserve">24×7, com alerta para incidentes críticos.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Disponibilidade alvo:</w:t>
      </w:r>
      <w:r>
        <w:t xml:space="preserve"> </w:t>
      </w:r>
      <w:r>
        <w:t xml:space="preserve">99,5% ao mês.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10. Condições de pagamento</w:t>
      </w:r>
    </w:p>
    <w:p>
      <w:pPr>
        <w:pStyle w:val="Heading3"/>
      </w:pPr>
      <w:r>
        <w:t xml:space="preserve">10.1 Desenvolvimento e implantação (R$ 437.200,00), por marcos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81"/>
        <w:gridCol w:w="792"/>
        <w:gridCol w:w="1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(R$)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Assinatura do contrato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43.720,00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Aceite dos requisitos e homologação do protótipo (semana 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65.580,00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da versão base (semana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87.440,00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funcional completa (semana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87.440,00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 homologável aceita (semana 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87.440,00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Aceite definitivo (semana 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65.580,00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437.200,00</w:t>
            </w:r>
          </w:p>
        </w:tc>
      </w:tr>
    </w:tbl>
    <w:p>
      <w:pPr>
        <w:pStyle w:val="Heading3"/>
      </w:pPr>
      <w:r>
        <w:t xml:space="preserve">10.2 Operação (itens 18 a 20)</w:t>
      </w:r>
    </w:p>
    <w:p>
      <w:pPr>
        <w:pStyle w:val="FirstParagraph"/>
      </w:pPr>
      <w:r>
        <w:t xml:space="preserve">Mensalidade de</w:t>
      </w:r>
      <w:r>
        <w:t xml:space="preserve"> </w:t>
      </w:r>
      <w:r>
        <w:rPr>
          <w:bCs/>
          <w:b/>
        </w:rPr>
        <w:t xml:space="preserve">R$ 4.340,00</w:t>
      </w:r>
      <w:r>
        <w:t xml:space="preserve">, com faturamento mensal a partir do mês seguinte à implantação em produção.</w:t>
      </w:r>
    </w:p>
    <w:p>
      <w:pPr>
        <w:pStyle w:val="Heading3"/>
      </w:pPr>
      <w:r>
        <w:t xml:space="preserve">10.3 Condições gerais</w:t>
      </w:r>
    </w:p>
    <w:p>
      <w:pPr>
        <w:numPr>
          <w:ilvl w:val="0"/>
          <w:numId w:val="1008"/>
        </w:numPr>
        <w:pStyle w:val="Compact"/>
      </w:pPr>
      <w:r>
        <w:t xml:space="preserve">Pagamento em até 15 dias após a emissão da nota fiscal.</w:t>
      </w:r>
    </w:p>
    <w:p>
      <w:pPr>
        <w:numPr>
          <w:ilvl w:val="0"/>
          <w:numId w:val="1008"/>
        </w:numPr>
        <w:pStyle w:val="Compact"/>
      </w:pPr>
      <w:r>
        <w:t xml:space="preserve">Reajuste anual dos valores recorrentes pelo IPCA.</w:t>
      </w:r>
    </w:p>
    <w:p>
      <w:pPr>
        <w:numPr>
          <w:ilvl w:val="0"/>
          <w:numId w:val="1008"/>
        </w:numPr>
        <w:pStyle w:val="Compact"/>
      </w:pPr>
      <w:r>
        <w:t xml:space="preserve">O item 18 poderá ser revisto se a variação cambial acumulada ultrapassar 10%, mediante comprovação, porque os custos de nuvem são cotados em dólar.</w:t>
      </w:r>
    </w:p>
    <w:p>
      <w:pPr>
        <w:numPr>
          <w:ilvl w:val="0"/>
          <w:numId w:val="1008"/>
        </w:numPr>
        <w:pStyle w:val="Compact"/>
      </w:pPr>
      <w:r>
        <w:t xml:space="preserve">Valores em reais, com todos os tributos incidentes incluídos.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11. Premissas comerciais</w:t>
      </w:r>
    </w:p>
    <w:p>
      <w:pPr>
        <w:pStyle w:val="FirstParagraph"/>
      </w:pPr>
      <w:r>
        <w:t xml:space="preserve">As premissas técnicas completas (P-01 a P-19) estão no documento de Requisitos Refinados. As que mais afetam o preço são: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Beneficiários apenas em números agregados:</w:t>
      </w:r>
      <w:r>
        <w:t xml:space="preserve"> </w:t>
      </w:r>
      <w:r>
        <w:t xml:space="preserve">quantidades por faixa etária, gênero e PCD, sem cadastro nominal de beneficiários.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Indicadores:</w:t>
      </w:r>
      <w:r>
        <w:t xml:space="preserve"> </w:t>
      </w:r>
      <w:r>
        <w:t xml:space="preserve">catálogo pré-definido de até 30 indicadores, configurável pelo administrador. A criação de novos indicadores é o opcional O-01.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Testes de segurança:</w:t>
      </w:r>
      <w:r>
        <w:t xml:space="preserve"> </w:t>
      </w:r>
      <w:r>
        <w:t xml:space="preserve">varredura automatizada mais checklist OWASP ASVS nível 1. O pentest independente é o opcional O-03.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Homologação do protótipo:</w:t>
      </w:r>
      <w:r>
        <w:t xml:space="preserve"> </w:t>
      </w:r>
      <w:r>
        <w:t xml:space="preserve">até 2 ciclos de ajuste.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textos, imagens, publicações e textos jurídicos finais são fornecidos pela FBA. A NatGED entrega minutas técnicas da política de privacidade e dos termos de uso.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Carga de dados:</w:t>
      </w:r>
      <w:r>
        <w:t xml:space="preserve"> </w:t>
      </w:r>
      <w:r>
        <w:t xml:space="preserve">somente por planilha-modelo de organizações. Migração de bases legadas é o opcional O-05.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Treinamentos:</w:t>
      </w:r>
      <w:r>
        <w:t xml:space="preserve"> </w:t>
      </w:r>
      <w:r>
        <w:t xml:space="preserve">2 turmas de 3 h, remotas e gravadas.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Contas:</w:t>
      </w:r>
      <w:r>
        <w:t xml:space="preserve"> </w:t>
      </w:r>
      <w:r>
        <w:t xml:space="preserve">contas de nuvem, domínio e repositório de código em nome da FBA Global.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Prazo da operação:</w:t>
      </w:r>
      <w:r>
        <w:t xml:space="preserve"> </w:t>
      </w:r>
      <w:r>
        <w:t xml:space="preserve">24 meses de operação contados da implantação em produção. Se a FBA entender que os 24 meses se contam desde a assinatura do contrato (TR §17), os itens 18 a 20 passam a 18 meses, totalizando</w:t>
      </w:r>
      <w:r>
        <w:t xml:space="preserve"> </w:t>
      </w:r>
      <w:r>
        <w:rPr>
          <w:bCs/>
          <w:b/>
        </w:rPr>
        <w:t xml:space="preserve">R$ 78.120,00</w:t>
      </w:r>
      <w:r>
        <w:t xml:space="preserve">.</w:t>
      </w:r>
    </w:p>
    <w:p>
      <w:pPr>
        <w:pStyle w:val="Heading2"/>
      </w:pPr>
      <w:r>
        <w:t xml:space="preserve">12. Dependências da FBA Global</w:t>
      </w:r>
    </w:p>
    <w:p>
      <w:pPr>
        <w:numPr>
          <w:ilvl w:val="0"/>
          <w:numId w:val="1010"/>
        </w:numPr>
        <w:pStyle w:val="Compact"/>
      </w:pPr>
      <w:r>
        <w:t xml:space="preserve">Designar ponto focal e encarregado de dados (DPO) na semana 1.</w:t>
      </w:r>
    </w:p>
    <w:p>
      <w:pPr>
        <w:numPr>
          <w:ilvl w:val="0"/>
          <w:numId w:val="1010"/>
        </w:numPr>
        <w:pStyle w:val="Compact"/>
      </w:pPr>
      <w:r>
        <w:t xml:space="preserve">Fornecer manual de marca até a semana 2.</w:t>
      </w:r>
    </w:p>
    <w:p>
      <w:pPr>
        <w:numPr>
          <w:ilvl w:val="0"/>
          <w:numId w:val="1010"/>
        </w:numPr>
        <w:pStyle w:val="Compact"/>
      </w:pPr>
      <w:r>
        <w:t xml:space="preserve">Validar requisitos e catálogo de indicadores até a semana 4.</w:t>
      </w:r>
    </w:p>
    <w:p>
      <w:pPr>
        <w:numPr>
          <w:ilvl w:val="0"/>
          <w:numId w:val="1010"/>
        </w:numPr>
        <w:pStyle w:val="Compact"/>
      </w:pPr>
      <w:r>
        <w:t xml:space="preserve">Homologar entregas em até 5 dias úteis (protótipo) e 10 dias úteis (versões).</w:t>
      </w:r>
    </w:p>
    <w:p>
      <w:pPr>
        <w:numPr>
          <w:ilvl w:val="0"/>
          <w:numId w:val="1010"/>
        </w:numPr>
        <w:pStyle w:val="Compact"/>
      </w:pPr>
      <w:r>
        <w:t xml:space="preserve">Fornecer conteúdo do portal e textos jurídicos até a semana 16.</w:t>
      </w:r>
    </w:p>
    <w:p>
      <w:pPr>
        <w:numPr>
          <w:ilvl w:val="0"/>
          <w:numId w:val="1010"/>
        </w:numPr>
        <w:pStyle w:val="Compact"/>
      </w:pPr>
      <w:r>
        <w:t xml:space="preserve">Providenciar domínio e contas de nuvem até a semana 12.</w:t>
      </w:r>
    </w:p>
    <w:p>
      <w:pPr>
        <w:numPr>
          <w:ilvl w:val="0"/>
          <w:numId w:val="1010"/>
        </w:numPr>
        <w:pStyle w:val="Compact"/>
      </w:pPr>
      <w:r>
        <w:t xml:space="preserve">Mobilizar os participantes dos treinamentos.</w:t>
      </w:r>
    </w:p>
    <w:p>
      <w:pPr>
        <w:pStyle w:val="Heading2"/>
      </w:pPr>
      <w:r>
        <w:t xml:space="preserve">13. Entregáveis obrigatórios (TR §10) — atendimento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8"/>
        <w:gridCol w:w="2516"/>
        <w:gridCol w:w="962"/>
        <w:gridCol w:w="518"/>
        <w:gridCol w:w="2072"/>
        <w:gridCol w:w="1332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Atendido 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Atendido 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Levantamento e refinamento dos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e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da 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Formulários e pesquisas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Protótipo navegável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evidências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e exportações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3–5, 7–12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Segurança, LGPD, logs 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4–7, 10–13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funcionais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13, 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14, 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restrita das organizações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Implantação em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de projetos e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da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Código-fonte e credenciais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e georreferenciamento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de garantia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9.1 (sem custo)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Limitações técnicas declaradas (TR §18):</w:t>
      </w:r>
    </w:p>
    <w:p>
      <w:pPr>
        <w:numPr>
          <w:ilvl w:val="0"/>
          <w:numId w:val="1011"/>
        </w:numPr>
        <w:pStyle w:val="Compact"/>
      </w:pPr>
      <w:r>
        <w:t xml:space="preserve">A geocodificação automática por OpenStreetMap pode ter precisão menor em áreas rurais ou periféricas. Por isso existe o ajuste manual do pino.</w:t>
      </w:r>
    </w:p>
    <w:p>
      <w:pPr>
        <w:numPr>
          <w:ilvl w:val="0"/>
          <w:numId w:val="1011"/>
        </w:numPr>
        <w:pStyle w:val="Compact"/>
      </w:pPr>
      <w:r>
        <w:t xml:space="preserve">Tiles gratuitos seguem política de uso justo. Se o tráfego crescer muito, pode ser necessário um servidor de tiles próprio (estimado em R$ 150,00/mês).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14. Informações complementares (TR §16)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49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Razão 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[preencher — NatGED]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 pela proposta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/ telefone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Validade da 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estimado para 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semanas (fases 1 a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estimado para implantação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 (fase 6); aceite definitivo na semana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Tecnologias utilizadas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Python/Django, Wagtail (CMS), Django REST Framework, HTMX, Alpine.js, Tailwind CSS, MapLibre/Leaflet, FullCalendar, ECharts, SurveyJS Form Library, Celery, Docker,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 + PostGIS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Infraestrutura /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 pública, região São Paulo (AWS ou equivalente); CDN/WAF Cloudflare; contas em nome da FBA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Licenças ou APIs com custo recorrente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licença de software. Recorrentes apenas os serviços de nuvem (item 18). API de mapas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de garantia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após o aceite definitivo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de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2 h / 8 h; Alto 4 h / 2 d; Médio 1 d / 5 d; Baixo 2 d / próxima versão (seção 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Condições de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em 6 marcos (10/15/20/20/20/15%); operação mensal de R$ 4.340,00; pagamento em 15 dias da 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integral ao escopo do TR, com premissas na seção 11 e opcionais na seção 6. Documento de Requisitos Refinados anexo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15. Declaração de ciência do escopo (TR §19)</w:t>
      </w:r>
    </w:p>
    <w:p>
      <w:pPr>
        <w:pStyle w:val="FirstParagraph"/>
      </w:pPr>
      <w:r>
        <w:t xml:space="preserve">A NatGED declara ter recebido e analisado o Termo de Referência, compreendido o escopo solicitado e considerado na formação de preço os requisitos, entregáveis e responsabilidades necessários à execução, observadas as premissas desta proposta.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do responsável]</w:t>
      </w:r>
      <w:r>
        <w:t xml:space="preserve"> </w:t>
      </w:r>
      <w:r>
        <w:rPr>
          <w:bCs/>
          <w:b/>
        </w:rPr>
        <w:t xml:space="preserve">[Cargo]</w:t>
      </w:r>
      <w:r>
        <w:t xml:space="preserve"> </w:t>
      </w:r>
      <w:r>
        <w:t xml:space="preserve">— NatGED</w:t>
      </w:r>
      <w:r>
        <w:t xml:space="preserve"> </w:t>
      </w:r>
      <w:r>
        <w:t xml:space="preserve">[Cidade], ___ de ______________ de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4E79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themeColor="accent1"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themeColor="accent1"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1F4E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1F4E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1F4E7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1F4E7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1F4E7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1F4E7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1F4E7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pPr>
      <w:spacing w:after="40" w:before="40"/>
    </w:pPr>
    <w:rPr>
      <w:sz w:val="18"/>
      <w:szCs w:val="18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left w:type="dxa" w:w="80"/>
        <w:right w:type="dxa" w:w="80"/>
      </w:tblCellMar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1F4E7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</dc:title>
  <dc:creator/>
  <dc:language>pt-BR</dc:language>
  <cp:keywords/>
  <dcterms:created xsi:type="dcterms:W3CDTF">2026-09-25T16:01:26Z</dcterms:created>
  <dcterms:modified xsi:type="dcterms:W3CDTF">2026-09-25T16:01:26Z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Desenvolvimento da Plataforma Tecnológica do Observatório FBA do Esporte Social e da Mobilidade</vt:lpwstr>
  </property>
</Properties>
</file>