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Medical</w:t>
      </w:r>
      <w:r>
        <w:t xml:space="preserve"> </w:t>
      </w:r>
      <w:r>
        <w:t xml:space="preserve">Cost</w:t>
      </w:r>
      <w:r>
        <w:t xml:space="preserve"> </w:t>
      </w:r>
      <w:r>
        <w:t xml:space="preserve">Analysis</w:t>
      </w:r>
    </w:p>
    <w:p>
      <w:pPr>
        <w:pStyle w:val="Author"/>
      </w:pPr>
      <w:r>
        <w:t xml:space="preserve">Jon</w:t>
      </w:r>
      <w:r>
        <w:t xml:space="preserve"> </w:t>
      </w:r>
      <w:r>
        <w:t xml:space="preserve">Duea</w:t>
      </w:r>
      <w:r>
        <w:t xml:space="preserve"> </w:t>
      </w:r>
      <w:r>
        <w:t xml:space="preserve">&amp;</w:t>
      </w:r>
      <w:r>
        <w:t xml:space="preserve"> </w:t>
      </w:r>
      <w:r>
        <w:t xml:space="preserve">John</w:t>
      </w:r>
      <w:r>
        <w:t xml:space="preserve"> </w:t>
      </w:r>
      <w:r>
        <w:t xml:space="preserve">Clark</w:t>
      </w:r>
    </w:p>
    <w:p>
      <w:pPr>
        <w:pStyle w:val="Date"/>
      </w:pPr>
      <w:r>
        <w:t xml:space="preserve">2025-04-09</w:t>
      </w:r>
    </w:p>
    <w:bookmarkStart w:id="20" w:name="introduction"/>
    <w:p>
      <w:pPr>
        <w:pStyle w:val="Heading1"/>
      </w:pPr>
      <w:r>
        <w:t xml:space="preserve">Introduction</w:t>
      </w:r>
    </w:p>
    <w:p>
      <w:pPr>
        <w:pStyle w:val="FirstParagraph"/>
      </w:pPr>
      <w:r>
        <w:t xml:space="preserve">The goal of the STAT 301 project is to apply ANOVA methods to a dataset, so with that in mind we chose this dataset from Kaggle</w:t>
      </w:r>
      <w:r>
        <w:t xml:space="preserve"> </w:t>
      </w:r>
      <w:r>
        <w:t xml:space="preserve">(</w:t>
      </w:r>
      <w:hyperlink w:anchor="ref-choi_medical">
        <w:r>
          <w:rPr>
            <w:rStyle w:val="Hyperlink"/>
          </w:rPr>
          <w:t xml:space="preserve">Choi, n.d.</w:t>
        </w:r>
      </w:hyperlink>
      <w:r>
        <w:t xml:space="preserve">)</w:t>
      </w:r>
      <w:r>
        <w:t xml:space="preserve">, the original source can be found here as well</w:t>
      </w:r>
      <w:r>
        <w:t xml:space="preserve"> </w:t>
      </w:r>
      <w:r>
        <w:t xml:space="preserve">(</w:t>
      </w:r>
      <w:hyperlink w:anchor="ref-stednick_2022_data">
        <w:r>
          <w:rPr>
            <w:rStyle w:val="Hyperlink"/>
          </w:rPr>
          <w:t xml:space="preserve">Stednick 2022</w:t>
        </w:r>
      </w:hyperlink>
      <w:r>
        <w:t xml:space="preserve">)</w:t>
      </w:r>
      <w:r>
        <w:t xml:space="preserve">, and was initially prepared for the book</w:t>
      </w:r>
      <w:r>
        <w:t xml:space="preserve"> </w:t>
      </w:r>
      <w:r>
        <w:rPr>
          <w:i/>
          <w:iCs/>
        </w:rPr>
        <w:t xml:space="preserve">Machine Learning with R</w:t>
      </w:r>
      <w:r>
        <w:t xml:space="preserve"> </w:t>
      </w:r>
      <w:r>
        <w:t xml:space="preserve">(</w:t>
      </w:r>
      <w:hyperlink w:anchor="ref-lantz_2013_machine">
        <w:r>
          <w:rPr>
            <w:rStyle w:val="Hyperlink"/>
          </w:rPr>
          <w:t xml:space="preserve">Lantz 2013</w:t>
        </w:r>
      </w:hyperlink>
      <w:r>
        <w:t xml:space="preserve">)</w:t>
      </w:r>
      <w:r>
        <w:t xml:space="preserve">. This dataset was simulated based on demographic statistics from the U.S. Census Bureau and contains information regarding medical costs billed to individuals by insurance as well as information about the individuals including their age, sex, bmi, number of children, smoking status, and region of the US where they reside.</w:t>
      </w:r>
    </w:p>
    <w:p>
      <w:pPr>
        <w:pStyle w:val="BodyText"/>
      </w:pPr>
      <w:r>
        <w:t xml:space="preserve">The research questions we are aiming to address using this dataset are:</w:t>
      </w:r>
    </w:p>
    <w:p>
      <w:pPr>
        <w:pStyle w:val="Compact"/>
        <w:numPr>
          <w:ilvl w:val="0"/>
          <w:numId w:val="1001"/>
        </w:numPr>
      </w:pPr>
      <w:r>
        <w:t xml:space="preserve">Do medical costs billed by insurance differ significantly based on sex and region independently?</w:t>
      </w:r>
    </w:p>
    <w:p>
      <w:pPr>
        <w:pStyle w:val="Compact"/>
        <w:numPr>
          <w:ilvl w:val="1"/>
          <w:numId w:val="1002"/>
        </w:numPr>
      </w:pPr>
      <w:r>
        <w:t xml:space="preserve">Sex:</w:t>
      </w:r>
    </w:p>
    <w:p>
      <w:pPr>
        <w:pStyle w:val="Compact"/>
        <w:numPr>
          <w:ilvl w:val="2"/>
          <w:numId w:val="1003"/>
        </w:numPr>
      </w:pPr>
      <m:oMath>
        <m:sSub>
          <m:e>
            <m:r>
              <m:t>H</m:t>
            </m:r>
          </m:e>
          <m:sub>
            <m:r>
              <m:t>0</m:t>
            </m:r>
          </m:sub>
        </m:sSub>
        <m:r>
          <m:rPr>
            <m:sty m:val="p"/>
          </m:rPr>
          <m:t>:</m:t>
        </m:r>
        <m:sSub>
          <m:e>
            <m:r>
              <m:t>μ</m:t>
            </m:r>
          </m:e>
          <m:sub>
            <m:r>
              <m:t>m</m:t>
            </m:r>
            <m:r>
              <m:t>a</m:t>
            </m:r>
            <m:r>
              <m:t>l</m:t>
            </m:r>
            <m:r>
              <m:t>e</m:t>
            </m:r>
          </m:sub>
        </m:sSub>
        <m:r>
          <m:rPr>
            <m:sty m:val="p"/>
          </m:rPr>
          <m:t>=</m:t>
        </m:r>
        <m:sSub>
          <m:e>
            <m:r>
              <m:t>μ</m:t>
            </m:r>
          </m:e>
          <m:sub>
            <m:r>
              <m:t>f</m:t>
            </m:r>
            <m:r>
              <m:t>e</m:t>
            </m:r>
            <m:r>
              <m:t>m</m:t>
            </m:r>
            <m:r>
              <m:t>a</m:t>
            </m:r>
            <m:r>
              <m:t>l</m:t>
            </m:r>
            <m:r>
              <m:t>e</m:t>
            </m:r>
          </m:sub>
        </m:sSub>
      </m:oMath>
    </w:p>
    <w:p>
      <w:pPr>
        <w:pStyle w:val="Compact"/>
        <w:numPr>
          <w:ilvl w:val="2"/>
          <w:numId w:val="1003"/>
        </w:numPr>
      </w:pPr>
      <m:oMath>
        <m:sSub>
          <m:e>
            <m:r>
              <m:t>H</m:t>
            </m:r>
          </m:e>
          <m:sub>
            <m:r>
              <m:t>a</m:t>
            </m:r>
          </m:sub>
        </m:sSub>
        <m:r>
          <m:rPr>
            <m:sty m:val="p"/>
          </m:rPr>
          <m:t>:</m:t>
        </m:r>
        <m:sSub>
          <m:e>
            <m:r>
              <m:t>μ</m:t>
            </m:r>
          </m:e>
          <m:sub>
            <m:r>
              <m:t>m</m:t>
            </m:r>
            <m:r>
              <m:t>a</m:t>
            </m:r>
            <m:r>
              <m:t>l</m:t>
            </m:r>
            <m:r>
              <m:t>e</m:t>
            </m:r>
          </m:sub>
        </m:sSub>
        <m:r>
          <m:rPr>
            <m:sty m:val="p"/>
          </m:rPr>
          <m:t>≠</m:t>
        </m:r>
        <m:sSub>
          <m:e>
            <m:r>
              <m:t>μ</m:t>
            </m:r>
          </m:e>
          <m:sub>
            <m:r>
              <m:t>f</m:t>
            </m:r>
            <m:r>
              <m:t>e</m:t>
            </m:r>
            <m:r>
              <m:t>m</m:t>
            </m:r>
            <m:r>
              <m:t>a</m:t>
            </m:r>
            <m:r>
              <m:t>l</m:t>
            </m:r>
            <m:r>
              <m:t>e</m:t>
            </m:r>
          </m:sub>
        </m:sSub>
      </m:oMath>
    </w:p>
    <w:p>
      <w:pPr>
        <w:pStyle w:val="Compact"/>
        <w:numPr>
          <w:ilvl w:val="1"/>
          <w:numId w:val="1002"/>
        </w:numPr>
      </w:pPr>
      <w:r>
        <w:t xml:space="preserve">Region:</w:t>
      </w:r>
    </w:p>
    <w:p>
      <w:pPr>
        <w:pStyle w:val="Compact"/>
        <w:numPr>
          <w:ilvl w:val="2"/>
          <w:numId w:val="1004"/>
        </w:numPr>
      </w:pPr>
      <m:oMath>
        <m:sSub>
          <m:e>
            <m:r>
              <m:t>H</m:t>
            </m:r>
          </m:e>
          <m:sub>
            <m:r>
              <m:t>0</m:t>
            </m:r>
          </m:sub>
        </m:sSub>
        <m:r>
          <m:rPr>
            <m:sty m:val="p"/>
          </m:rPr>
          <m:t>:</m:t>
        </m:r>
        <m:sSub>
          <m:e>
            <m:r>
              <m:t>μ</m:t>
            </m:r>
          </m:e>
          <m:sub>
            <m:r>
              <m:t>n</m:t>
            </m:r>
            <m:r>
              <m:t>o</m:t>
            </m:r>
            <m:r>
              <m:t>r</m:t>
            </m:r>
            <m:r>
              <m:t>t</m:t>
            </m:r>
            <m:r>
              <m:t>h</m:t>
            </m:r>
            <m:r>
              <m:t>e</m:t>
            </m:r>
            <m:r>
              <m:t>a</m:t>
            </m:r>
            <m:r>
              <m:t>s</m:t>
            </m:r>
            <m:r>
              <m:t>t</m:t>
            </m:r>
          </m:sub>
        </m:sSub>
        <m:r>
          <m:rPr>
            <m:sty m:val="p"/>
          </m:rPr>
          <m:t>=</m:t>
        </m:r>
        <m:sSub>
          <m:e>
            <m:r>
              <m:t>μ</m:t>
            </m:r>
          </m:e>
          <m:sub>
            <m:r>
              <m:t>n</m:t>
            </m:r>
            <m:r>
              <m:t>o</m:t>
            </m:r>
            <m:r>
              <m:t>r</m:t>
            </m:r>
            <m:r>
              <m:t>t</m:t>
            </m:r>
            <m:r>
              <m:t>h</m:t>
            </m:r>
            <m:r>
              <m:t>w</m:t>
            </m:r>
            <m:r>
              <m:t>e</m:t>
            </m:r>
            <m:r>
              <m:t>s</m:t>
            </m:r>
            <m:r>
              <m:t>t</m:t>
            </m:r>
          </m:sub>
        </m:sSub>
        <m:r>
          <m:rPr>
            <m:sty m:val="p"/>
          </m:rPr>
          <m:t>=</m:t>
        </m:r>
        <m:sSub>
          <m:e>
            <m:r>
              <m:t>μ</m:t>
            </m:r>
          </m:e>
          <m:sub>
            <m:r>
              <m:t>s</m:t>
            </m:r>
            <m:r>
              <m:t>o</m:t>
            </m:r>
            <m:r>
              <m:t>u</m:t>
            </m:r>
            <m:r>
              <m:t>t</m:t>
            </m:r>
            <m:r>
              <m:t>h</m:t>
            </m:r>
            <m:r>
              <m:t>e</m:t>
            </m:r>
            <m:r>
              <m:t>a</m:t>
            </m:r>
            <m:r>
              <m:t>s</m:t>
            </m:r>
            <m:r>
              <m:t>t</m:t>
            </m:r>
          </m:sub>
        </m:sSub>
        <m:r>
          <m:rPr>
            <m:sty m:val="p"/>
          </m:rPr>
          <m:t>=</m:t>
        </m:r>
        <m:sSub>
          <m:e>
            <m:r>
              <m:t>μ</m:t>
            </m:r>
          </m:e>
          <m:sub>
            <m:r>
              <m:t>s</m:t>
            </m:r>
            <m:r>
              <m:t>o</m:t>
            </m:r>
            <m:r>
              <m:t>u</m:t>
            </m:r>
            <m:r>
              <m:t>t</m:t>
            </m:r>
            <m:r>
              <m:t>h</m:t>
            </m:r>
            <m:r>
              <m:t>w</m:t>
            </m:r>
            <m:r>
              <m:t>e</m:t>
            </m:r>
            <m:r>
              <m:t>s</m:t>
            </m:r>
            <m:r>
              <m:t>t</m:t>
            </m:r>
          </m:sub>
        </m:sSub>
      </m:oMath>
    </w:p>
    <w:p>
      <w:pPr>
        <w:pStyle w:val="Compact"/>
        <w:numPr>
          <w:ilvl w:val="2"/>
          <w:numId w:val="1004"/>
        </w:numPr>
      </w:pPr>
      <m:oMath>
        <m:sSub>
          <m:e>
            <m:r>
              <m:t>H</m:t>
            </m:r>
          </m:e>
          <m:sub>
            <m:r>
              <m:t>a</m:t>
            </m:r>
          </m:sub>
        </m:sSub>
        <m:r>
          <m:rPr>
            <m:sty m:val="p"/>
          </m:rPr>
          <m:t>:</m:t>
        </m:r>
      </m:oMath>
      <w:r>
        <w:t xml:space="preserve"> </w:t>
      </w:r>
      <w:r>
        <w:t xml:space="preserve">At least one regions mean charges are significantly different from the others.</w:t>
      </w:r>
    </w:p>
    <w:p>
      <w:pPr>
        <w:pStyle w:val="Compact"/>
        <w:numPr>
          <w:ilvl w:val="0"/>
          <w:numId w:val="1001"/>
        </w:numPr>
      </w:pPr>
      <w:r>
        <w:t xml:space="preserve">Is there a significant interaction between sex of the primary beneficiary and region on medical costs billed by insurance, meaning that the effect of sex on medical costs billed by insurance depends on the region of the US where the individual resides?</w:t>
      </w:r>
    </w:p>
    <w:p>
      <w:pPr>
        <w:pStyle w:val="Compact"/>
        <w:numPr>
          <w:ilvl w:val="1"/>
          <w:numId w:val="1005"/>
        </w:numPr>
      </w:pPr>
      <m:oMath>
        <m:sSub>
          <m:e>
            <m:r>
              <m:t>H</m:t>
            </m:r>
          </m:e>
          <m:sub>
            <m:r>
              <m:t>0</m:t>
            </m:r>
          </m:sub>
        </m:sSub>
        <m:r>
          <m:rPr>
            <m:sty m:val="p"/>
          </m:rPr>
          <m:t>:</m:t>
        </m:r>
      </m:oMath>
      <w:r>
        <w:t xml:space="preserve"> </w:t>
      </w:r>
      <w:r>
        <w:t xml:space="preserve">There is no interaction between sex and region on medical costs billed by insurance.</w:t>
      </w:r>
    </w:p>
    <w:p>
      <w:pPr>
        <w:pStyle w:val="Compact"/>
        <w:numPr>
          <w:ilvl w:val="1"/>
          <w:numId w:val="1005"/>
        </w:numPr>
      </w:pPr>
      <m:oMath>
        <m:sSub>
          <m:e>
            <m:r>
              <m:t>H</m:t>
            </m:r>
          </m:e>
          <m:sub>
            <m:r>
              <m:t>a</m:t>
            </m:r>
          </m:sub>
        </m:sSub>
        <m:r>
          <m:rPr>
            <m:sty m:val="p"/>
          </m:rPr>
          <m:t>:</m:t>
        </m:r>
      </m:oMath>
      <w:r>
        <w:t xml:space="preserve"> </w:t>
      </w:r>
      <w:r>
        <w:t xml:space="preserve">There is a significant interaction between sex and region on medical costs billed by insurance.</w:t>
      </w:r>
    </w:p>
    <w:p>
      <w:pPr>
        <w:pStyle w:val="FirstParagraph"/>
      </w:pPr>
      <w:r>
        <w:t xml:space="preserve">In order to answer these questions we have chosen to utilize three variable from our dataset:</w:t>
      </w:r>
    </w:p>
    <w:p>
      <w:pPr>
        <w:numPr>
          <w:ilvl w:val="0"/>
          <w:numId w:val="1006"/>
        </w:numPr>
      </w:pPr>
      <w:r>
        <w:t xml:space="preserve">Sex (sex of the primary beneficiary, categorical variable with 2 levels (male or female))</w:t>
      </w:r>
    </w:p>
    <w:p>
      <w:pPr>
        <w:numPr>
          <w:ilvl w:val="0"/>
          <w:numId w:val="1006"/>
        </w:numPr>
      </w:pPr>
      <w:r>
        <w:t xml:space="preserve">Region (residential area of the primary beneficiary in the US, categorical variable with 4 levels (northeast, northwest, southeast, southwest)</w:t>
      </w:r>
    </w:p>
    <w:p>
      <w:pPr>
        <w:numPr>
          <w:ilvl w:val="0"/>
          <w:numId w:val="1006"/>
        </w:numPr>
      </w:pPr>
      <w:r>
        <w:t xml:space="preserve">Charges (medical costs billed by health insurance, numeric variable, measured in USD):</w:t>
      </w:r>
    </w:p>
    <w:bookmarkEnd w:id="20"/>
    <w:bookmarkStart w:id="21" w:name="methods"/>
    <w:p>
      <w:pPr>
        <w:pStyle w:val="Heading1"/>
      </w:pPr>
      <w:r>
        <w:t xml:space="preserve">Methods</w:t>
      </w:r>
    </w:p>
    <w:p>
      <w:pPr>
        <w:pStyle w:val="FirstParagraph"/>
      </w:pPr>
      <w:r>
        <w:t xml:space="preserve">Since we’re working with two categorical independent variables and one numeric dependent variable, a two-way ANOVA was performed to analyze the effect of sex and region on medical costs billed by insurance. A two-way ANOVA is the appropriate method for our analysis because our research questions are interested in investigating the main effect of sex and region (both categorical variables with two or more levels) as well as the interaction between the two.</w:t>
      </w:r>
    </w:p>
    <w:p>
      <w:pPr>
        <w:pStyle w:val="BodyText"/>
      </w:pPr>
      <w:r>
        <w:t xml:space="preserve">In preparation for our analysis, we checked that the assumptions about our data for two-way ANOVA were satisfied (located in R chunk</w:t>
      </w:r>
      <w:r>
        <w:t xml:space="preserve"> </w:t>
      </w:r>
      <w:r>
        <w:t xml:space="preserve">“</w:t>
      </w:r>
      <w:r>
        <w:t xml:space="preserve">Assumption checks</w:t>
      </w:r>
      <w:r>
        <w:t xml:space="preserve">”</w:t>
      </w:r>
      <w:r>
        <w:t xml:space="preserve">), and determined that no pre-processing of our data was needed other than converting the region and sex variables from a character to a factor.</w:t>
      </w:r>
    </w:p>
    <w:bookmarkEnd w:id="21"/>
    <w:bookmarkStart w:id="25" w:name="conclusion"/>
    <w:p>
      <w:pPr>
        <w:pStyle w:val="Heading1"/>
      </w:pPr>
      <w:r>
        <w:t xml:space="preserve">Conclusion</w:t>
      </w:r>
    </w:p>
    <w:p>
      <w:pPr>
        <w:pStyle w:val="FirstParagraph"/>
      </w:pPr>
      <w:r>
        <w:t xml:space="preserve">Based on the results of our analysis (see Table 1: Two-way ANOVA results below for the test statistics) we were able to answer the research questions posed at the beginning of this paper, that is:</w:t>
      </w:r>
    </w:p>
    <w:p>
      <w:pPr>
        <w:pStyle w:val="Compact"/>
        <w:numPr>
          <w:ilvl w:val="0"/>
          <w:numId w:val="1007"/>
        </w:numPr>
      </w:pPr>
      <w:r>
        <w:t xml:space="preserve">Do medical costs billed by insurance differ significantly based on sex and region independently?</w:t>
      </w:r>
    </w:p>
    <w:p>
      <w:pPr>
        <w:pStyle w:val="Compact"/>
        <w:numPr>
          <w:ilvl w:val="1"/>
          <w:numId w:val="1008"/>
        </w:numPr>
      </w:pPr>
      <w:r>
        <w:t xml:space="preserve">Sex:</w:t>
      </w:r>
    </w:p>
    <w:p>
      <w:pPr>
        <w:pStyle w:val="Compact"/>
        <w:numPr>
          <w:ilvl w:val="2"/>
          <w:numId w:val="1009"/>
        </w:numPr>
      </w:pPr>
      <m:oMath>
        <m:sSub>
          <m:e>
            <m:r>
              <m:t>H</m:t>
            </m:r>
          </m:e>
          <m:sub>
            <m:r>
              <m:t>0</m:t>
            </m:r>
          </m:sub>
        </m:sSub>
        <m:r>
          <m:rPr>
            <m:sty m:val="p"/>
          </m:rPr>
          <m:t>:</m:t>
        </m:r>
        <m:sSub>
          <m:e>
            <m:r>
              <m:t>μ</m:t>
            </m:r>
          </m:e>
          <m:sub>
            <m:r>
              <m:t>m</m:t>
            </m:r>
            <m:r>
              <m:t>a</m:t>
            </m:r>
            <m:r>
              <m:t>l</m:t>
            </m:r>
            <m:r>
              <m:t>e</m:t>
            </m:r>
          </m:sub>
        </m:sSub>
        <m:r>
          <m:rPr>
            <m:sty m:val="p"/>
          </m:rPr>
          <m:t>=</m:t>
        </m:r>
        <m:sSub>
          <m:e>
            <m:r>
              <m:t>μ</m:t>
            </m:r>
          </m:e>
          <m:sub>
            <m:r>
              <m:t>f</m:t>
            </m:r>
            <m:r>
              <m:t>e</m:t>
            </m:r>
            <m:r>
              <m:t>m</m:t>
            </m:r>
            <m:r>
              <m:t>a</m:t>
            </m:r>
            <m:r>
              <m:t>l</m:t>
            </m:r>
            <m:r>
              <m:t>e</m:t>
            </m:r>
          </m:sub>
        </m:sSub>
      </m:oMath>
      <w:r>
        <w:t xml:space="preserve"> </w:t>
      </w:r>
      <w:r>
        <w:t xml:space="preserve">vs</w:t>
      </w:r>
      <w:r>
        <w:t xml:space="preserve"> </w:t>
      </w:r>
      <m:oMath>
        <m:sSub>
          <m:e>
            <m:r>
              <m:t>H</m:t>
            </m:r>
          </m:e>
          <m:sub>
            <m:r>
              <m:t>a</m:t>
            </m:r>
          </m:sub>
        </m:sSub>
        <m:r>
          <m:rPr>
            <m:sty m:val="p"/>
          </m:rPr>
          <m:t>:</m:t>
        </m:r>
        <m:sSub>
          <m:e>
            <m:r>
              <m:t>μ</m:t>
            </m:r>
          </m:e>
          <m:sub>
            <m:r>
              <m:t>m</m:t>
            </m:r>
            <m:r>
              <m:t>a</m:t>
            </m:r>
            <m:r>
              <m:t>l</m:t>
            </m:r>
            <m:r>
              <m:t>e</m:t>
            </m:r>
          </m:sub>
        </m:sSub>
        <m:r>
          <m:rPr>
            <m:sty m:val="p"/>
          </m:rPr>
          <m:t>≠</m:t>
        </m:r>
        <m:sSub>
          <m:e>
            <m:r>
              <m:t>μ</m:t>
            </m:r>
          </m:e>
          <m:sub>
            <m:r>
              <m:t>f</m:t>
            </m:r>
            <m:r>
              <m:t>e</m:t>
            </m:r>
            <m:r>
              <m:t>m</m:t>
            </m:r>
            <m:r>
              <m:t>a</m:t>
            </m:r>
            <m:r>
              <m:t>l</m:t>
            </m:r>
            <m:r>
              <m:t>e</m:t>
            </m:r>
          </m:sub>
        </m:sSub>
      </m:oMath>
    </w:p>
    <w:p>
      <w:pPr>
        <w:pStyle w:val="Compact"/>
        <w:numPr>
          <w:ilvl w:val="2"/>
          <w:numId w:val="1009"/>
        </w:numPr>
      </w:pPr>
      <w:r>
        <w:t xml:space="preserve">F=2.97533, P-value=.0307&lt;</w:t>
      </w:r>
      <w:r>
        <w:t xml:space="preserve"> </w:t>
      </w:r>
      <m:oMath>
        <m:r>
          <m:t>α</m:t>
        </m:r>
      </m:oMath>
      <w:r>
        <w:t xml:space="preserve"> </w:t>
      </w:r>
      <w:r>
        <w:t xml:space="preserve">= 0.05, we reject the null hypothesis and conclude that there is a statistically significant difference at the .05 significance level in medical costs billed by insurance between the male and female sexes.</w:t>
      </w:r>
    </w:p>
    <w:p>
      <w:pPr>
        <w:pStyle w:val="Compact"/>
        <w:numPr>
          <w:ilvl w:val="1"/>
          <w:numId w:val="1008"/>
        </w:numPr>
      </w:pPr>
      <w:r>
        <w:t xml:space="preserve">Region:</w:t>
      </w:r>
    </w:p>
    <w:p>
      <w:pPr>
        <w:pStyle w:val="Compact"/>
        <w:numPr>
          <w:ilvl w:val="2"/>
          <w:numId w:val="1010"/>
        </w:numPr>
      </w:pPr>
      <m:oMath>
        <m:sSub>
          <m:e>
            <m:r>
              <m:t>H</m:t>
            </m:r>
          </m:e>
          <m:sub>
            <m:r>
              <m:t>0</m:t>
            </m:r>
          </m:sub>
        </m:sSub>
        <m:r>
          <m:rPr>
            <m:sty m:val="p"/>
          </m:rPr>
          <m:t>:</m:t>
        </m:r>
        <m:sSub>
          <m:e>
            <m:r>
              <m:t>μ</m:t>
            </m:r>
          </m:e>
          <m:sub>
            <m:r>
              <m:t>n</m:t>
            </m:r>
            <m:r>
              <m:t>o</m:t>
            </m:r>
            <m:r>
              <m:t>r</m:t>
            </m:r>
            <m:r>
              <m:t>t</m:t>
            </m:r>
            <m:r>
              <m:t>h</m:t>
            </m:r>
            <m:r>
              <m:t>e</m:t>
            </m:r>
            <m:r>
              <m:t>a</m:t>
            </m:r>
            <m:r>
              <m:t>s</m:t>
            </m:r>
            <m:r>
              <m:t>t</m:t>
            </m:r>
          </m:sub>
        </m:sSub>
        <m:r>
          <m:rPr>
            <m:sty m:val="p"/>
          </m:rPr>
          <m:t>=</m:t>
        </m:r>
        <m:sSub>
          <m:e>
            <m:r>
              <m:t>μ</m:t>
            </m:r>
          </m:e>
          <m:sub>
            <m:r>
              <m:t>n</m:t>
            </m:r>
            <m:r>
              <m:t>o</m:t>
            </m:r>
            <m:r>
              <m:t>r</m:t>
            </m:r>
            <m:r>
              <m:t>t</m:t>
            </m:r>
            <m:r>
              <m:t>h</m:t>
            </m:r>
            <m:r>
              <m:t>w</m:t>
            </m:r>
            <m:r>
              <m:t>e</m:t>
            </m:r>
            <m:r>
              <m:t>s</m:t>
            </m:r>
            <m:r>
              <m:t>t</m:t>
            </m:r>
          </m:sub>
        </m:sSub>
        <m:r>
          <m:rPr>
            <m:sty m:val="p"/>
          </m:rPr>
          <m:t>=</m:t>
        </m:r>
        <m:sSub>
          <m:e>
            <m:r>
              <m:t>μ</m:t>
            </m:r>
          </m:e>
          <m:sub>
            <m:r>
              <m:t>s</m:t>
            </m:r>
            <m:r>
              <m:t>o</m:t>
            </m:r>
            <m:r>
              <m:t>u</m:t>
            </m:r>
            <m:r>
              <m:t>t</m:t>
            </m:r>
            <m:r>
              <m:t>h</m:t>
            </m:r>
            <m:r>
              <m:t>e</m:t>
            </m:r>
            <m:r>
              <m:t>a</m:t>
            </m:r>
            <m:r>
              <m:t>s</m:t>
            </m:r>
            <m:r>
              <m:t>t</m:t>
            </m:r>
          </m:sub>
        </m:sSub>
        <m:r>
          <m:rPr>
            <m:sty m:val="p"/>
          </m:rPr>
          <m:t>=</m:t>
        </m:r>
        <m:sSub>
          <m:e>
            <m:r>
              <m:t>μ</m:t>
            </m:r>
          </m:e>
          <m:sub>
            <m:r>
              <m:t>s</m:t>
            </m:r>
            <m:r>
              <m:t>o</m:t>
            </m:r>
            <m:r>
              <m:t>u</m:t>
            </m:r>
            <m:r>
              <m:t>t</m:t>
            </m:r>
            <m:r>
              <m:t>h</m:t>
            </m:r>
            <m:r>
              <m:t>w</m:t>
            </m:r>
            <m:r>
              <m:t>e</m:t>
            </m:r>
            <m:r>
              <m:t>s</m:t>
            </m:r>
            <m:r>
              <m:t>t</m:t>
            </m:r>
          </m:sub>
        </m:sSub>
      </m:oMath>
      <w:r>
        <w:t xml:space="preserve"> </w:t>
      </w:r>
      <w:r>
        <w:t xml:space="preserve">vs</w:t>
      </w:r>
      <w:r>
        <w:t xml:space="preserve"> </w:t>
      </w:r>
      <m:oMath>
        <m:sSub>
          <m:e>
            <m:r>
              <m:t>H</m:t>
            </m:r>
          </m:e>
          <m:sub>
            <m:r>
              <m:t>a</m:t>
            </m:r>
          </m:sub>
        </m:sSub>
        <m:r>
          <m:rPr>
            <m:sty m:val="p"/>
          </m:rPr>
          <m:t>:</m:t>
        </m:r>
      </m:oMath>
      <w:r>
        <w:t xml:space="preserve"> </w:t>
      </w:r>
      <w:r>
        <w:t xml:space="preserve">At least one regions mean charges are significantly different from the others.</w:t>
      </w:r>
    </w:p>
    <w:p>
      <w:pPr>
        <w:pStyle w:val="Compact"/>
        <w:numPr>
          <w:ilvl w:val="2"/>
          <w:numId w:val="1010"/>
        </w:numPr>
      </w:pPr>
      <w:r>
        <w:t xml:space="preserve">F=4.2069, P-value=.0405&lt;</w:t>
      </w:r>
      <w:r>
        <w:t xml:space="preserve"> </w:t>
      </w:r>
      <m:oMath>
        <m:r>
          <m:t>α</m:t>
        </m:r>
      </m:oMath>
      <w:r>
        <w:t xml:space="preserve"> </w:t>
      </w:r>
      <w:r>
        <w:t xml:space="preserve">= 0.05, we reject the null hypothesis and conclude that at the .05 significance level at least one regions mean medical costs billed by insurance differs significantly from the others.</w:t>
      </w:r>
    </w:p>
    <w:p>
      <w:pPr>
        <w:pStyle w:val="Compact"/>
        <w:numPr>
          <w:ilvl w:val="0"/>
          <w:numId w:val="1007"/>
        </w:numPr>
      </w:pPr>
      <w:r>
        <w:t xml:space="preserve">Is there a significant interaction between sex of the primary beneficiary and region on medical costs billed by insurance, meaning that the effect of sex on medical costs billed by insurance depends on the region of the US where the individual resides?</w:t>
      </w:r>
    </w:p>
    <w:p>
      <w:pPr>
        <w:pStyle w:val="Compact"/>
        <w:numPr>
          <w:ilvl w:val="1"/>
          <w:numId w:val="1011"/>
        </w:numPr>
      </w:pPr>
      <m:oMath>
        <m:sSub>
          <m:e>
            <m:r>
              <m:t>H</m:t>
            </m:r>
          </m:e>
          <m:sub>
            <m:r>
              <m:t>0</m:t>
            </m:r>
          </m:sub>
        </m:sSub>
        <m:r>
          <m:rPr>
            <m:sty m:val="p"/>
          </m:rPr>
          <m:t>:</m:t>
        </m:r>
      </m:oMath>
      <w:r>
        <w:t xml:space="preserve"> </w:t>
      </w:r>
      <w:r>
        <w:t xml:space="preserve">There is no interaction between sex and region on medical costs billed by insurance. vs</w:t>
      </w:r>
      <w:r>
        <w:t xml:space="preserve"> </w:t>
      </w:r>
      <m:oMath>
        <m:sSub>
          <m:e>
            <m:r>
              <m:t>H</m:t>
            </m:r>
          </m:e>
          <m:sub>
            <m:r>
              <m:t>a</m:t>
            </m:r>
          </m:sub>
        </m:sSub>
        <m:r>
          <m:rPr>
            <m:sty m:val="p"/>
          </m:rPr>
          <m:t>:</m:t>
        </m:r>
      </m:oMath>
      <w:r>
        <w:t xml:space="preserve"> </w:t>
      </w:r>
      <w:r>
        <w:t xml:space="preserve">There is a significant interaction between sex and region on medical costs billed by insurance.</w:t>
      </w:r>
    </w:p>
    <w:p>
      <w:pPr>
        <w:pStyle w:val="Compact"/>
        <w:numPr>
          <w:ilvl w:val="1"/>
          <w:numId w:val="1011"/>
        </w:numPr>
      </w:pPr>
      <w:r>
        <w:t xml:space="preserve">F-value = 0.7781, P-value = 0.5062 &gt;</w:t>
      </w:r>
      <w:r>
        <w:t xml:space="preserve"> </w:t>
      </w:r>
      <m:oMath>
        <m:r>
          <m:t>α</m:t>
        </m:r>
      </m:oMath>
      <w:r>
        <w:t xml:space="preserve"> </w:t>
      </w:r>
      <w:r>
        <w:t xml:space="preserve">= 0.05, we fail to reject the null hypothesis; there is insufficient evidence at the .05 significance level to claim a significant interaction between sex and region medical costs billed by insurance exists.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Two-way Anova results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98"/>
        <w:gridCol w:w="958"/>
        <w:gridCol w:w="2159"/>
        <w:gridCol w:w="1692"/>
        <w:gridCol w:w="1158"/>
        <w:gridCol w:w="1171"/>
      </w:tblGrid>
      <w:tr>
        <w:trPr>
          <w:trHeight w:val="482" w:hRule="auto"/>
          <w:tblHeader/>
        </w:trPr>
        header1
        <w:tc>
          <w:tcPr>
            <w:tcBorders>
              <w:bottom w:val="single" w:sz="12" w:space="0" w:color="BEBEBE"/>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Source</w:t>
            </w:r>
          </w:p>
        </w:tc>
        <w:tc>
          <w:tcPr>
            <w:tcBorders>
              <w:bottom w:val="single" w:sz="12" w:space="0" w:color="BEBEBE"/>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Df</w:t>
            </w:r>
          </w:p>
        </w:tc>
        <w:tc>
          <w:tcPr>
            <w:tcBorders>
              <w:bottom w:val="single" w:sz="12" w:space="0" w:color="BEBEBE"/>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SS</w:t>
            </w:r>
          </w:p>
        </w:tc>
        <w:tc>
          <w:tcPr>
            <w:tcBorders>
              <w:bottom w:val="single" w:sz="12" w:space="0" w:color="BEBEBE"/>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MS</w:t>
            </w:r>
          </w:p>
        </w:tc>
        <w:tc>
          <w:tcPr>
            <w:tcBorders>
              <w:bottom w:val="single" w:sz="12" w:space="0" w:color="BEBEBE"/>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F-value</w:t>
            </w:r>
          </w:p>
        </w:tc>
        <w:tc>
          <w:tcPr>
            <w:tcBorders>
              <w:bottom w:val="single" w:sz="12" w:space="0" w:color="BEBEBE"/>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P-value</w:t>
            </w:r>
          </w:p>
        </w:tc>
      </w:tr>
      <w:tr>
        <w:trPr>
          <w:trHeight w:val="526" w:hRule="auto"/>
        </w:trPr>
        body1
        <w:tc>
          <w:tcPr>
            <w:tcBorders>
              <w:bottom w:val="none" w:sz="0" w:space="0" w:color="000000"/>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Region</w:t>
            </w:r>
          </w:p>
        </w:tc>
        <w:tc>
          <w:tcPr>
            <w:tcBorders>
              <w:bottom w:val="none" w:sz="0" w:space="0" w:color="000000"/>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3</w:t>
            </w:r>
          </w:p>
        </w:tc>
        <w:tc>
          <w:tcPr>
            <w:tcBorders>
              <w:bottom w:val="none" w:sz="0" w:space="0" w:color="000000"/>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1,300,759,681</w:t>
            </w:r>
          </w:p>
        </w:tc>
        <w:tc>
          <w:tcPr>
            <w:tcBorders>
              <w:bottom w:val="none" w:sz="0" w:space="0" w:color="000000"/>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433,586,560</w:t>
            </w:r>
          </w:p>
        </w:tc>
        <w:tc>
          <w:tcPr>
            <w:tcBorders>
              <w:bottom w:val="none" w:sz="0" w:space="0" w:color="000000"/>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2.9753</w:t>
            </w:r>
          </w:p>
        </w:tc>
        <w:tc>
          <w:tcPr>
            <w:tcBorders>
              <w:bottom w:val="none" w:sz="0" w:space="0" w:color="000000"/>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0.0307</w:t>
            </w:r>
          </w:p>
        </w:tc>
      </w:tr>
      <w:tr>
        <w:trPr>
          <w:trHeight w:val="51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613,069,167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613,069,167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4.2069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0.0405</w:t>
            </w:r>
          </w:p>
        </w:tc>
      </w:tr>
      <w:tr>
        <w:trPr>
          <w:trHeight w:val="52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Region:Sex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340,173,346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113,391,115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0.7781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0.5062</w:t>
            </w:r>
          </w:p>
        </w:tc>
      </w:tr>
      <w:tr>
        <w:trPr>
          <w:trHeight w:val="510" w:hRule="auto"/>
        </w:trPr>
        body4
        <w:tc>
          <w:tcPr>
            <w:tcBorders>
              <w:bottom w:val="single" w:sz="12"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Residuals</w:t>
            </w:r>
          </w:p>
        </w:tc>
        <w:tc>
          <w:tcPr>
            <w:tcBorders>
              <w:bottom w:val="single" w:sz="12"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1,330</w:t>
            </w:r>
          </w:p>
        </w:tc>
        <w:tc>
          <w:tcPr>
            <w:tcBorders>
              <w:bottom w:val="single" w:sz="12"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193,820,219,374</w:t>
            </w:r>
          </w:p>
        </w:tc>
        <w:tc>
          <w:tcPr>
            <w:tcBorders>
              <w:bottom w:val="single" w:sz="12"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145,729,488</w:t>
            </w:r>
          </w:p>
        </w:tc>
        <w:tc>
          <w:tcPr>
            <w:tcBorders>
              <w:bottom w:val="single" w:sz="12"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
            </w:r>
          </w:p>
        </w:tc>
        <w:tc>
          <w:tcPr>
            <w:tcBorders>
              <w:bottom w:val="single" w:sz="12"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
            </w:r>
          </w:p>
        </w:tc>
      </w:tr>
    </w:tbl>
    <w:p>
      <w:pPr>
        <w:pStyle w:val="FirstParagraph"/>
      </w:pPr>
      <w:r>
        <w:t xml:space="preserve">Diving deeper into where the significant differences lie between the regions, our Tukey analysis unveiled a surprising discovery, that is the only significant difference (at the .05 significance level) found was between the southwest and southeast regions (see Table 2: TukeyHSD results below for full test statistics). This was surprising because it differed from what we would have assumed to be the regions where a significant difference would lie.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TukeyHSD results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59"/>
        <w:gridCol w:w="1638"/>
        <w:gridCol w:w="1638"/>
        <w:gridCol w:w="1559"/>
        <w:gridCol w:w="1518"/>
      </w:tblGrid>
      <w:tr>
        <w:trPr>
          <w:trHeight w:val="526" w:hRule="auto"/>
          <w:tblHeader/>
        </w:trPr>
        header1
        <w:tc>
          <w:tcPr>
            <w:tcBorders>
              <w:bottom w:val="single" w:sz="12" w:space="0" w:color="BEBEBE"/>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Region</w:t>
            </w:r>
          </w:p>
        </w:tc>
        <w:tc>
          <w:tcPr>
            <w:tcBorders>
              <w:bottom w:val="single" w:sz="12" w:space="0" w:color="BEBEBE"/>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Diff</w:t>
            </w:r>
          </w:p>
        </w:tc>
        <w:tc>
          <w:tcPr>
            <w:tcBorders>
              <w:bottom w:val="single" w:sz="12" w:space="0" w:color="BEBEBE"/>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Lower</w:t>
            </w:r>
          </w:p>
        </w:tc>
        <w:tc>
          <w:tcPr>
            <w:tcBorders>
              <w:bottom w:val="single" w:sz="12" w:space="0" w:color="BEBEBE"/>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Upper</w:t>
            </w:r>
          </w:p>
        </w:tc>
        <w:tc>
          <w:tcPr>
            <w:tcBorders>
              <w:bottom w:val="single" w:sz="12" w:space="0" w:color="BEBEBE"/>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Adjusted P</w:t>
            </w:r>
          </w:p>
        </w:tc>
      </w:tr>
      <w:tr>
        <w:trPr>
          <w:trHeight w:val="510" w:hRule="auto"/>
        </w:trPr>
        body1
        <w:tc>
          <w:tcPr>
            <w:tcBorders>
              <w:bottom w:val="none" w:sz="0" w:space="0" w:color="000000"/>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northwest-northeast</w:t>
            </w:r>
          </w:p>
        </w:tc>
        <w:tc>
          <w:tcPr>
            <w:tcBorders>
              <w:bottom w:val="none" w:sz="0" w:space="0" w:color="000000"/>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-988.8091</w:t>
            </w:r>
          </w:p>
        </w:tc>
        <w:tc>
          <w:tcPr>
            <w:tcBorders>
              <w:bottom w:val="none" w:sz="0" w:space="0" w:color="000000"/>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-3,426.6228</w:t>
            </w:r>
          </w:p>
        </w:tc>
        <w:tc>
          <w:tcPr>
            <w:tcBorders>
              <w:bottom w:val="none" w:sz="0" w:space="0" w:color="000000"/>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1,449.0045</w:t>
            </w:r>
          </w:p>
        </w:tc>
        <w:tc>
          <w:tcPr>
            <w:tcBorders>
              <w:bottom w:val="none" w:sz="0" w:space="0" w:color="000000"/>
              <w:top w:val="single" w:sz="12"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0.7239</w:t>
            </w:r>
          </w:p>
        </w:tc>
      </w:tr>
      <w:tr>
        <w:trPr>
          <w:trHeight w:val="51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southeast-northeast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1,329.0269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-1,042.6928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3,700.7466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0.4737</w:t>
            </w:r>
          </w:p>
        </w:tc>
      </w:tr>
      <w:tr>
        <w:trPr>
          <w:trHeight w:val="51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southwest-northeast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-1,059.4471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-3,497.2608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1,378.3665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0.6785</w:t>
            </w:r>
          </w:p>
        </w:tc>
      </w:tr>
      <w:tr>
        <w:trPr>
          <w:trHeight w:val="51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southeast-northwest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2,317.8361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-51.9524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4,687.6245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0.0579</w:t>
            </w:r>
          </w:p>
        </w:tc>
      </w:tr>
      <w:tr>
        <w:trPr>
          <w:trHeight w:val="51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southwest-northwest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-70.6380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-2,506.5728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2,365.2968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0.9999</w:t>
            </w:r>
          </w:p>
        </w:tc>
      </w:tr>
      <w:tr>
        <w:trPr>
          <w:trHeight w:val="510" w:hRule="auto"/>
        </w:trPr>
        body6
        <w:tc>
          <w:tcPr>
            <w:tcBorders>
              <w:bottom w:val="single" w:sz="12"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southwest-southeast</w:t>
            </w:r>
          </w:p>
        </w:tc>
        <w:tc>
          <w:tcPr>
            <w:tcBorders>
              <w:bottom w:val="single" w:sz="12"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-2,388.4741</w:t>
            </w:r>
          </w:p>
        </w:tc>
        <w:tc>
          <w:tcPr>
            <w:tcBorders>
              <w:bottom w:val="single" w:sz="12"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-4,758.2625</w:t>
            </w:r>
          </w:p>
        </w:tc>
        <w:tc>
          <w:tcPr>
            <w:tcBorders>
              <w:bottom w:val="single" w:sz="12"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-18.6856</w:t>
            </w:r>
          </w:p>
        </w:tc>
        <w:tc>
          <w:tcPr>
            <w:tcBorders>
              <w:bottom w:val="single" w:sz="12"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312"/>
              <w:ind w:left="80" w:right="80" w:firstLine="0" w:firstLineChars="0"/>
              <w:rPr>
                <w:rFonts w:ascii="Arial" w:hAnsi="Arial" w:eastAsia="Arial" w:cs="Arial"/>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4"/>
                <w:szCs w:val="24"/>
                <w:color w:val="000000"/>
              </w:rPr>
              <w:t xml:space="preserve">0.0474</w:t>
            </w:r>
          </w:p>
        </w:tc>
      </w:tr>
    </w:tbl>
    <w:p>
      <w:pPr>
        <w:pStyle w:val="BodyText"/>
      </w:pPr>
      <w:r>
        <w:t xml:space="preserve">One other pair of regions came close to being significantly different (southeast-northwest, see Figure 1: TukeyHSD Visualization), but as shown by our visualization of the TukeyHSD results all the other regions show little to no significant evidence of differences.</w:t>
      </w:r>
    </w:p>
    <w:p>
      <w:pPr>
        <w:pStyle w:val="CaptionedFigure"/>
      </w:pPr>
      <w:r>
        <w:drawing>
          <wp:inline>
            <wp:extent cx="4620126" cy="3696101"/>
            <wp:effectExtent b="0" l="0" r="0" t="0"/>
            <wp:docPr descr="Figure 1: TukeyHSD Visualization, differences in mean medical costs billed by insurance (charges) region by region. This makes visible the significant difference in mean medical costs between the southwest and southeast regions, as shown by the 95% confidence interval for the difference in their mean costs not including 0" title="" id="23" name="Picture"/>
            <a:graphic>
              <a:graphicData uri="http://schemas.openxmlformats.org/drawingml/2006/picture">
                <pic:pic>
                  <pic:nvPicPr>
                    <pic:cNvPr descr="Medical-Cost-Analyis---Jon-Duea---John-Clark_files/figure-docx/TukeyHSD%20Figure-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TukeyHSD Visualization, differences in mean medical costs billed by insurance (charges) region by region. This makes visible the significant difference in mean medical costs between the southwest and southeast regions, as shown by the 95% confidence interval for the difference in their mean costs not including 0</w:t>
      </w:r>
    </w:p>
    <w:p>
      <w:pPr>
        <w:pStyle w:val="BodyText"/>
      </w:pPr>
      <w:r>
        <w:t xml:space="preserve">It is important to note that while our analysis has given some insight into the differences in medical costs between male and female sexes, as well as four different regions of the US, the relevance of this analysis is limited as the data used was generated from US census bureau statistics and is quite dated as of 2025 (the data was generated for the year the book</w:t>
      </w:r>
      <w:r>
        <w:t xml:space="preserve"> </w:t>
      </w:r>
      <w:r>
        <w:rPr>
          <w:i/>
          <w:iCs/>
        </w:rPr>
        <w:t xml:space="preserve">Machine Learning with R</w:t>
      </w:r>
      <w:r>
        <w:t xml:space="preserve"> </w:t>
      </w:r>
      <w:r>
        <w:t xml:space="preserve">(</w:t>
      </w:r>
      <w:hyperlink w:anchor="ref-lantz_2013_machine">
        <w:r>
          <w:rPr>
            <w:rStyle w:val="Hyperlink"/>
          </w:rPr>
          <w:t xml:space="preserve">Lantz 2013</w:t>
        </w:r>
      </w:hyperlink>
      <w:r>
        <w:t xml:space="preserve">)</w:t>
      </w:r>
      <w:r>
        <w:t xml:space="preserve">, was first published i.e. 2013). It is likely that if the same sort of analysis were to be performed with data based off recent census bureau statistics the results may or may not be the same.</w:t>
      </w:r>
    </w:p>
    <w:bookmarkEnd w:id="25"/>
    <w:bookmarkStart w:id="33" w:name="references"/>
    <w:p>
      <w:pPr>
        <w:pStyle w:val="Heading1"/>
      </w:pPr>
      <w:r>
        <w:t xml:space="preserve">References</w:t>
      </w:r>
    </w:p>
    <w:bookmarkStart w:id="32" w:name="refs"/>
    <w:bookmarkStart w:id="27" w:name="ref-choi_medical"/>
    <w:p>
      <w:pPr>
        <w:pStyle w:val="Bibliography"/>
      </w:pPr>
      <w:r>
        <w:t xml:space="preserve">Choi, Miri. n.d.</w:t>
      </w:r>
      <w:r>
        <w:t xml:space="preserve"> </w:t>
      </w:r>
      <w:r>
        <w:t xml:space="preserve">“Medical Cost Personal Datasets.”</w:t>
      </w:r>
      <w:r>
        <w:t xml:space="preserve"> </w:t>
      </w:r>
      <w:r>
        <w:t xml:space="preserve">www.kaggle.com.</w:t>
      </w:r>
      <w:r>
        <w:t xml:space="preserve"> </w:t>
      </w:r>
      <w:hyperlink r:id="rId26">
        <w:r>
          <w:rPr>
            <w:rStyle w:val="Hyperlink"/>
          </w:rPr>
          <w:t xml:space="preserve">https://www.kaggle.com/datasets/mirichoi0218/insurance/data</w:t>
        </w:r>
      </w:hyperlink>
      <w:r>
        <w:t xml:space="preserve">.</w:t>
      </w:r>
    </w:p>
    <w:bookmarkEnd w:id="27"/>
    <w:bookmarkStart w:id="29" w:name="ref-lantz_2013_machine"/>
    <w:p>
      <w:pPr>
        <w:pStyle w:val="Bibliography"/>
      </w:pPr>
      <w:r>
        <w:t xml:space="preserve">Lantz, Brett. 2013.</w:t>
      </w:r>
      <w:r>
        <w:t xml:space="preserve"> </w:t>
      </w:r>
      <w:r>
        <w:t xml:space="preserve">“Machine Learning with r.”</w:t>
      </w:r>
      <w:r>
        <w:t xml:space="preserve"> </w:t>
      </w:r>
      <w:r>
        <w:t xml:space="preserve">Packt Publishing.</w:t>
      </w:r>
      <w:r>
        <w:t xml:space="preserve"> </w:t>
      </w:r>
      <w:hyperlink r:id="rId28">
        <w:r>
          <w:rPr>
            <w:rStyle w:val="Hyperlink"/>
          </w:rPr>
          <w:t xml:space="preserve">https://www.everand.com/book/253051595/Machine-Learning-with-R</w:t>
        </w:r>
      </w:hyperlink>
      <w:r>
        <w:t xml:space="preserve">.</w:t>
      </w:r>
    </w:p>
    <w:bookmarkEnd w:id="29"/>
    <w:bookmarkStart w:id="31" w:name="ref-stednick_2022_data"/>
    <w:p>
      <w:pPr>
        <w:pStyle w:val="Bibliography"/>
      </w:pPr>
      <w:r>
        <w:t xml:space="preserve">Stednick, Zach. 2022.</w:t>
      </w:r>
      <w:r>
        <w:t xml:space="preserve"> </w:t>
      </w:r>
      <w:r>
        <w:t xml:space="preserve">“Data for Machine Learning with r.”</w:t>
      </w:r>
      <w:r>
        <w:t xml:space="preserve"> </w:t>
      </w:r>
      <w:r>
        <w:t xml:space="preserve">GitHub.</w:t>
      </w:r>
      <w:r>
        <w:t xml:space="preserve"> </w:t>
      </w:r>
      <w:hyperlink r:id="rId30">
        <w:r>
          <w:rPr>
            <w:rStyle w:val="Hyperlink"/>
          </w:rPr>
          <w:t xml:space="preserve">https://github.com/stedy/Machine-Learning-with-R-datasets/blob/master/insurance.csv</w:t>
        </w:r>
      </w:hyperlink>
      <w:r>
        <w:t xml:space="preserve">.</w:t>
      </w:r>
    </w:p>
    <w:bookmarkEnd w:id="31"/>
    <w:bookmarkEnd w:id="32"/>
    <w:bookmarkEnd w:id="33"/>
    <w:sectPr w:rsidR="005D5FF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486C6D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78790999"/>
    <w:multiLevelType w:val="hybridMultilevel"/>
    <w:tmpl w:val="EAC2AA7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39354743" w:numId="1">
    <w:abstractNumId w:val="0"/>
  </w:num>
  <w:num w16cid:durableId="1181776343" w:numId="2">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D5FF7"/>
    <w:rsid w:val="001540A8"/>
    <w:rsid w:val="003C77CA"/>
    <w:rsid w:val="003F4B58"/>
    <w:rsid w:val="00552216"/>
    <w:rsid w:val="005C699F"/>
    <w:rsid w:val="005D5FF7"/>
    <w:rsid w:val="00860E33"/>
    <w:rsid w:val="0090085E"/>
    <w:rsid w:val="009C0A41"/>
    <w:rsid w:val="00A821A9"/>
    <w:rsid w:val="00AC611F"/>
    <w:rsid w:val="00D4171C"/>
    <w:rsid w:val="00D970DD"/>
    <w:rsid w:val="00F35BBA"/>
    <w:rsid w:val="00FD786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35BBA"/>
    <w:pPr>
      <w:spacing w:line="480" w:lineRule="auto"/>
    </w:pPr>
  </w:style>
  <w:style w:styleId="Heading1" w:type="paragraph">
    <w:name w:val="heading 1"/>
    <w:basedOn w:val="Normal"/>
    <w:next w:val="BodyText"/>
    <w:link w:val="Heading1Char"/>
    <w:uiPriority w:val="9"/>
    <w:qFormat/>
    <w:rsid w:val="005C699F"/>
    <w:pPr>
      <w:keepNext/>
      <w:keepLines/>
      <w:spacing w:after="80" w:before="360"/>
      <w:outlineLvl w:val="0"/>
    </w:pPr>
    <w:rPr>
      <w:rFonts w:asciiTheme="majorHAnsi" w:cstheme="majorBidi" w:eastAsiaTheme="majorEastAsia" w:hAnsiTheme="majorHAnsi"/>
      <w:color w:themeColor="text1" w:val="000000"/>
      <w:sz w:val="40"/>
      <w:szCs w:val="40"/>
    </w:rPr>
  </w:style>
  <w:style w:styleId="Heading2" w:type="paragraph">
    <w:name w:val="heading 2"/>
    <w:basedOn w:val="Normal"/>
    <w:next w:val="BodyText"/>
    <w:link w:val="Heading2Char"/>
    <w:uiPriority w:val="9"/>
    <w:semiHidden/>
    <w:unhideWhenUsed/>
    <w:qFormat/>
    <w:rsid w:val="001540A8"/>
    <w:pPr>
      <w:keepNext/>
      <w:keepLines/>
      <w:spacing w:after="80" w:before="160"/>
      <w:outlineLvl w:val="1"/>
    </w:pPr>
    <w:rPr>
      <w:rFonts w:asciiTheme="majorHAnsi" w:cstheme="majorBidi" w:eastAsiaTheme="majorEastAsia" w:hAnsiTheme="majorHAnsi"/>
      <w:color w:themeColor="text1" w:val="000000"/>
      <w:sz w:val="32"/>
      <w:szCs w:val="32"/>
    </w:rPr>
  </w:style>
  <w:style w:styleId="Heading3" w:type="paragraph">
    <w:name w:val="heading 3"/>
    <w:basedOn w:val="Normal"/>
    <w:next w:val="BodyText"/>
    <w:link w:val="Heading3Char"/>
    <w:uiPriority w:val="9"/>
    <w:semiHidden/>
    <w:unhideWhenUsed/>
    <w:qFormat/>
    <w:rsid w:val="001540A8"/>
    <w:pPr>
      <w:keepNext/>
      <w:keepLines/>
      <w:spacing w:after="80" w:before="160"/>
      <w:outlineLvl w:val="2"/>
    </w:pPr>
    <w:rPr>
      <w:rFonts w:cstheme="majorBidi" w:eastAsiaTheme="majorEastAsia"/>
      <w:color w:themeColor="text1" w:val="000000"/>
      <w:sz w:val="28"/>
      <w:szCs w:val="28"/>
    </w:rPr>
  </w:style>
  <w:style w:styleId="Heading4" w:type="paragraph">
    <w:name w:val="heading 4"/>
    <w:basedOn w:val="Normal"/>
    <w:next w:val="BodyText"/>
    <w:link w:val="Heading4Char"/>
    <w:uiPriority w:val="9"/>
    <w:semiHidden/>
    <w:unhideWhenUsed/>
    <w:qFormat/>
    <w:rsid w:val="001540A8"/>
    <w:pPr>
      <w:keepNext/>
      <w:keepLines/>
      <w:spacing w:after="40" w:before="80"/>
      <w:outlineLvl w:val="3"/>
    </w:pPr>
    <w:rPr>
      <w:rFonts w:cstheme="majorBidi" w:eastAsiaTheme="majorEastAsia"/>
      <w:i/>
      <w:iCs/>
      <w:color w:themeColor="text1" w:val="000000"/>
    </w:rPr>
  </w:style>
  <w:style w:styleId="Heading5" w:type="paragraph">
    <w:name w:val="heading 5"/>
    <w:basedOn w:val="Normal"/>
    <w:next w:val="BodyText"/>
    <w:link w:val="Heading5Char"/>
    <w:uiPriority w:val="9"/>
    <w:semiHidden/>
    <w:unhideWhenUsed/>
    <w:qFormat/>
    <w:rsid w:val="001540A8"/>
    <w:pPr>
      <w:keepNext/>
      <w:keepLines/>
      <w:spacing w:after="40" w:before="80"/>
      <w:outlineLvl w:val="4"/>
    </w:pPr>
    <w:rPr>
      <w:rFonts w:cstheme="majorBidi" w:eastAsiaTheme="majorEastAsia"/>
      <w:color w:themeColor="text1"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F35BBA"/>
    <w:pPr>
      <w:spacing w:after="180" w:before="180"/>
    </w:pPr>
  </w:style>
  <w:style w:customStyle="1" w:styleId="FirstParagraph" w:type="paragraph">
    <w:name w:val="First Paragraph"/>
    <w:basedOn w:val="BodyText"/>
    <w:next w:val="BodyText"/>
    <w:qFormat/>
    <w:rsid w:val="005C699F"/>
    <w:rPr>
      <w:color w:themeColor="text1" w:val="00000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D4171C"/>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D4171C"/>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rsid w:val="00FD786D"/>
    <w:pPr>
      <w:spacing w:line="240" w:lineRule="auto"/>
    </w:pPr>
  </w:style>
  <w:style w:customStyle="1" w:styleId="Heading1Char" w:type="character">
    <w:name w:val="Heading 1 Char"/>
    <w:basedOn w:val="DefaultParagraphFont"/>
    <w:link w:val="Heading1"/>
    <w:uiPriority w:val="9"/>
    <w:rsid w:val="005C699F"/>
    <w:rPr>
      <w:rFonts w:asciiTheme="majorHAnsi" w:cstheme="majorBidi" w:eastAsiaTheme="majorEastAsia" w:hAnsiTheme="majorHAnsi"/>
      <w:color w:themeColor="text1" w:val="000000"/>
      <w:sz w:val="40"/>
      <w:szCs w:val="40"/>
    </w:rPr>
  </w:style>
  <w:style w:customStyle="1" w:styleId="Heading2Char" w:type="character">
    <w:name w:val="Heading 2 Char"/>
    <w:basedOn w:val="DefaultParagraphFont"/>
    <w:link w:val="Heading2"/>
    <w:uiPriority w:val="9"/>
    <w:semiHidden/>
    <w:rsid w:val="001540A8"/>
    <w:rPr>
      <w:rFonts w:asciiTheme="majorHAnsi" w:cstheme="majorBidi" w:eastAsiaTheme="majorEastAsia" w:hAnsiTheme="majorHAnsi"/>
      <w:color w:themeColor="text1" w:val="000000"/>
      <w:sz w:val="32"/>
      <w:szCs w:val="32"/>
    </w:rPr>
  </w:style>
  <w:style w:customStyle="1" w:styleId="Heading3Char" w:type="character">
    <w:name w:val="Heading 3 Char"/>
    <w:basedOn w:val="DefaultParagraphFont"/>
    <w:link w:val="Heading3"/>
    <w:uiPriority w:val="9"/>
    <w:semiHidden/>
    <w:rsid w:val="001540A8"/>
    <w:rPr>
      <w:rFonts w:cstheme="majorBidi" w:eastAsiaTheme="majorEastAsia"/>
      <w:color w:themeColor="text1" w:val="000000"/>
      <w:sz w:val="28"/>
      <w:szCs w:val="28"/>
    </w:rPr>
  </w:style>
  <w:style w:customStyle="1" w:styleId="Heading4Char" w:type="character">
    <w:name w:val="Heading 4 Char"/>
    <w:basedOn w:val="DefaultParagraphFont"/>
    <w:link w:val="Heading4"/>
    <w:uiPriority w:val="9"/>
    <w:semiHidden/>
    <w:rsid w:val="001540A8"/>
    <w:rPr>
      <w:rFonts w:cstheme="majorBidi" w:eastAsiaTheme="majorEastAsia"/>
      <w:i/>
      <w:iCs/>
      <w:color w:themeColor="text1" w:val="000000"/>
    </w:rPr>
  </w:style>
  <w:style w:customStyle="1" w:styleId="Heading5Char" w:type="character">
    <w:name w:val="Heading 5 Char"/>
    <w:basedOn w:val="DefaultParagraphFont"/>
    <w:link w:val="Heading5"/>
    <w:uiPriority w:val="9"/>
    <w:semiHidden/>
    <w:rsid w:val="001540A8"/>
    <w:rPr>
      <w:rFonts w:cstheme="majorBidi" w:eastAsiaTheme="majorEastAsia"/>
      <w:color w:themeColor="text1"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A821A9"/>
    <w:pPr>
      <w:spacing w:line="240" w:lineRule="auto"/>
    </w:pPr>
  </w:style>
  <w:style w:customStyle="1" w:styleId="Figure" w:type="paragraph">
    <w:name w:val="Figure"/>
    <w:basedOn w:val="Normal"/>
  </w:style>
  <w:style w:customStyle="1" w:styleId="CaptionedFigure" w:type="paragraph">
    <w:name w:val="Captioned Figure"/>
    <w:basedOn w:val="Figure"/>
    <w:rsid w:val="00A821A9"/>
    <w:pPr>
      <w:keepNext/>
      <w:spacing w:line="240" w:lineRule="auto"/>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color w:themeColor="accent1" w:themeShade="BF" w:val="0F476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13804">
      <w:bodyDiv w:val="1"/>
      <w:marLeft w:val="0"/>
      <w:marRight w:val="0"/>
      <w:marTop w:val="0"/>
      <w:marBottom w:val="0"/>
      <w:divBdr>
        <w:top w:val="none" w:sz="0" w:space="0" w:color="auto"/>
        <w:left w:val="none" w:sz="0" w:space="0" w:color="auto"/>
        <w:bottom w:val="none" w:sz="0" w:space="0" w:color="auto"/>
        <w:right w:val="none" w:sz="0" w:space="0" w:color="auto"/>
      </w:divBdr>
    </w:div>
    <w:div w:id="94136889">
      <w:bodyDiv w:val="1"/>
      <w:marLeft w:val="0"/>
      <w:marRight w:val="0"/>
      <w:marTop w:val="0"/>
      <w:marBottom w:val="0"/>
      <w:divBdr>
        <w:top w:val="none" w:sz="0" w:space="0" w:color="auto"/>
        <w:left w:val="none" w:sz="0" w:space="0" w:color="auto"/>
        <w:bottom w:val="none" w:sz="0" w:space="0" w:color="auto"/>
        <w:right w:val="none" w:sz="0" w:space="0" w:color="auto"/>
      </w:divBdr>
    </w:div>
    <w:div w:id="146947228">
      <w:bodyDiv w:val="1"/>
      <w:marLeft w:val="0"/>
      <w:marRight w:val="0"/>
      <w:marTop w:val="0"/>
      <w:marBottom w:val="0"/>
      <w:divBdr>
        <w:top w:val="none" w:sz="0" w:space="0" w:color="auto"/>
        <w:left w:val="none" w:sz="0" w:space="0" w:color="auto"/>
        <w:bottom w:val="none" w:sz="0" w:space="0" w:color="auto"/>
        <w:right w:val="none" w:sz="0" w:space="0" w:color="auto"/>
      </w:divBdr>
    </w:div>
    <w:div w:id="1278566884">
      <w:bodyDiv w:val="1"/>
      <w:marLeft w:val="0"/>
      <w:marRight w:val="0"/>
      <w:marTop w:val="0"/>
      <w:marBottom w:val="0"/>
      <w:divBdr>
        <w:top w:val="none" w:sz="0" w:space="0" w:color="auto"/>
        <w:left w:val="none" w:sz="0" w:space="0" w:color="auto"/>
        <w:bottom w:val="none" w:sz="0" w:space="0" w:color="auto"/>
        <w:right w:val="none" w:sz="0" w:space="0" w:color="auto"/>
      </w:divBdr>
    </w:div>
    <w:div w:id="1555581357">
      <w:bodyDiv w:val="1"/>
      <w:marLeft w:val="0"/>
      <w:marRight w:val="0"/>
      <w:marTop w:val="0"/>
      <w:marBottom w:val="0"/>
      <w:divBdr>
        <w:top w:val="none" w:sz="0" w:space="0" w:color="auto"/>
        <w:left w:val="none" w:sz="0" w:space="0" w:color="auto"/>
        <w:bottom w:val="none" w:sz="0" w:space="0" w:color="auto"/>
        <w:right w:val="none" w:sz="0" w:space="0" w:color="auto"/>
      </w:divBdr>
    </w:div>
    <w:div w:id="1684434287">
      <w:bodyDiv w:val="1"/>
      <w:marLeft w:val="0"/>
      <w:marRight w:val="0"/>
      <w:marTop w:val="0"/>
      <w:marBottom w:val="0"/>
      <w:divBdr>
        <w:top w:val="none" w:sz="0" w:space="0" w:color="auto"/>
        <w:left w:val="none" w:sz="0" w:space="0" w:color="auto"/>
        <w:bottom w:val="none" w:sz="0" w:space="0" w:color="auto"/>
        <w:right w:val="none" w:sz="0" w:space="0" w:color="auto"/>
      </w:divBdr>
    </w:div>
    <w:div w:id="1855073102">
      <w:bodyDiv w:val="1"/>
      <w:marLeft w:val="0"/>
      <w:marRight w:val="0"/>
      <w:marTop w:val="0"/>
      <w:marBottom w:val="0"/>
      <w:divBdr>
        <w:top w:val="none" w:sz="0" w:space="0" w:color="auto"/>
        <w:left w:val="none" w:sz="0" w:space="0" w:color="auto"/>
        <w:bottom w:val="none" w:sz="0" w:space="0" w:color="auto"/>
        <w:right w:val="none" w:sz="0" w:space="0" w:color="auto"/>
      </w:divBdr>
    </w:div>
    <w:div w:id="19125005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30" Target="https://github.com/stedy/Machine-Learning-with-R-datasets/blob/master/insurance.csv" TargetMode="External" /><Relationship Type="http://schemas.openxmlformats.org/officeDocument/2006/relationships/hyperlink" Id="rId28" Target="https://www.everand.com/book/253051595/Machine-Learning-with-R" TargetMode="External" /><Relationship Type="http://schemas.openxmlformats.org/officeDocument/2006/relationships/hyperlink" Id="rId26" Target="https://www.kaggle.com/datasets/mirichoi0218/insurance/data" TargetMode="External" /></Relationships>
</file>

<file path=word/_rels/footnotes.xml.rels><?xml version="1.0" encoding="UTF-8"?><Relationships xmlns="http://schemas.openxmlformats.org/package/2006/relationships"><Relationship Type="http://schemas.openxmlformats.org/officeDocument/2006/relationships/hyperlink" Id="rId30" Target="https://github.com/stedy/Machine-Learning-with-R-datasets/blob/master/insurance.csv" TargetMode="External" /><Relationship Type="http://schemas.openxmlformats.org/officeDocument/2006/relationships/hyperlink" Id="rId28" Target="https://www.everand.com/book/253051595/Machine-Learning-with-R" TargetMode="External" /><Relationship Type="http://schemas.openxmlformats.org/officeDocument/2006/relationships/hyperlink" Id="rId26" Target="https://www.kaggle.com/datasets/mirichoi0218/insurance/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167</Words>
  <Characters>957</Characters>
  <Application>Microsoft Office Word</Application>
  <DocSecurity>0</DocSecurity>
  <Lines>7</Lines>
  <Paragraphs>2</Paragraphs>
  <ScaleCrop>false</ScaleCrop>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Cost Analysis</dc:title>
  <dc:creator>Jon Duea &amp; John Clark</dc:creator>
  <cp:keywords/>
  <dcterms:created xsi:type="dcterms:W3CDTF">2025-04-22T12:51:26Z</dcterms:created>
  <dcterms:modified xsi:type="dcterms:W3CDTF">2025-04-22T12:51:26Z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2025-04-09</vt:lpwstr>
  </property>
  <property fmtid="{D5CDD505-2E9C-101B-9397-08002B2CF9AE}" pid="4" name="link-citations">
    <vt:lpwstr>True</vt:lpwstr>
  </property>
  <property fmtid="{D5CDD505-2E9C-101B-9397-08002B2CF9AE}" pid="5" name="output">
    <vt:lpwstr/>
  </property>
</Properties>
</file>