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Medical</w:t>
      </w:r>
      <w:r>
        <w:t xml:space="preserve"> </w:t>
      </w:r>
      <w:r>
        <w:t xml:space="preserve">Cost</w:t>
      </w:r>
      <w:r>
        <w:t xml:space="preserve"> </w:t>
      </w:r>
      <w:r>
        <w:t xml:space="preserve">Analysis</w:t>
      </w:r>
    </w:p>
    <w:p>
      <w:pPr>
        <w:pStyle w:val="Author"/>
      </w:pPr>
      <w:r>
        <w:t xml:space="preserve">Jon</w:t>
      </w:r>
      <w:r>
        <w:t xml:space="preserve"> </w:t>
      </w:r>
      <w:r>
        <w:t xml:space="preserve">Duea</w:t>
      </w:r>
      <w:r>
        <w:t xml:space="preserve"> </w:t>
      </w:r>
      <w:r>
        <w:t xml:space="preserve">&amp;</w:t>
      </w:r>
      <w:r>
        <w:t xml:space="preserve"> </w:t>
      </w:r>
      <w:r>
        <w:t xml:space="preserve">John</w:t>
      </w:r>
      <w:r>
        <w:t xml:space="preserve"> </w:t>
      </w:r>
      <w:r>
        <w:t xml:space="preserve">Clark</w:t>
      </w:r>
    </w:p>
    <w:p>
      <w:pPr>
        <w:pStyle w:val="Date"/>
      </w:pPr>
      <w:r>
        <w:t xml:space="preserve">2025-04-09</w:t>
      </w:r>
    </w:p>
    <w:bookmarkStart w:id="20" w:name="introduction"/>
    <w:p>
      <w:pPr>
        <w:pStyle w:val="Heading1"/>
      </w:pPr>
      <w:r>
        <w:t xml:space="preserve">Introduction</w:t>
      </w:r>
    </w:p>
    <w:p>
      <w:pPr>
        <w:pStyle w:val="FirstParagraph"/>
      </w:pPr>
      <w:r>
        <w:t xml:space="preserve">The goal of the STAT 301 project is to apply ANOVA methods to a dataset, so with that in mind we chose this dataset from Kaggle</w:t>
      </w:r>
      <w:r>
        <w:t xml:space="preserve"> </w:t>
      </w:r>
      <w:r>
        <w:t xml:space="preserve">(</w:t>
      </w:r>
      <w:hyperlink w:anchor="ref-choi_medical">
        <w:r>
          <w:rPr>
            <w:rStyle w:val="Hyperlink"/>
          </w:rPr>
          <w:t xml:space="preserve">Choi, n.d.</w:t>
        </w:r>
      </w:hyperlink>
      <w:r>
        <w:t xml:space="preserve">)</w:t>
      </w:r>
      <w:r>
        <w:t xml:space="preserve">, the original source can be found here as well</w:t>
      </w:r>
      <w:r>
        <w:t xml:space="preserve"> </w:t>
      </w:r>
      <w:r>
        <w:t xml:space="preserve">(</w:t>
      </w:r>
      <w:hyperlink w:anchor="ref-stednick_2022_data">
        <w:r>
          <w:rPr>
            <w:rStyle w:val="Hyperlink"/>
          </w:rPr>
          <w:t xml:space="preserve">Stednick 2022</w:t>
        </w:r>
      </w:hyperlink>
      <w:r>
        <w:t xml:space="preserve">)</w:t>
      </w:r>
      <w:r>
        <w:t xml:space="preserve">. This dataset contains information regarding medical costs billed to individuals by insurance as well as information about the individuals including their age, sex, bmi, number of children, smoking status, and region of the US where they reside.</w:t>
      </w:r>
    </w:p>
    <w:p>
      <w:pPr>
        <w:pStyle w:val="BodyText"/>
      </w:pPr>
      <w:r>
        <w:t xml:space="preserve">The research questions we are aiming to address using this dataset are:</w:t>
      </w:r>
    </w:p>
    <w:p>
      <w:pPr>
        <w:pStyle w:val="Compact"/>
        <w:numPr>
          <w:ilvl w:val="0"/>
          <w:numId w:val="1001"/>
        </w:numPr>
      </w:pPr>
      <w:r>
        <w:t xml:space="preserve">Do medical costs billed by insurance differ significantly based on smoking status (smoker vs. non-smoker) and BMI categories (underweight, normal weight, overweight, obese) independently?</w:t>
      </w:r>
    </w:p>
    <w:p>
      <w:pPr>
        <w:pStyle w:val="Compact"/>
        <w:numPr>
          <w:ilvl w:val="1"/>
          <w:numId w:val="1002"/>
        </w:numPr>
      </w:pPr>
      <w:r>
        <w:t xml:space="preserve">Smoking Status:</w:t>
      </w:r>
    </w:p>
    <w:p>
      <w:pPr>
        <w:pStyle w:val="Compact"/>
        <w:numPr>
          <w:ilvl w:val="2"/>
          <w:numId w:val="1003"/>
        </w:numPr>
      </w:pPr>
      <m:oMath>
        <m:sSub>
          <m:e>
            <m:r>
              <m:t>H</m:t>
            </m:r>
          </m:e>
          <m:sub>
            <m:r>
              <m:t>0</m:t>
            </m:r>
          </m:sub>
        </m:sSub>
        <m:r>
          <m:rPr>
            <m:sty m:val="p"/>
          </m:rPr>
          <m:t>:</m:t>
        </m:r>
        <m:sSub>
          <m:e>
            <m:r>
              <m:t>μ</m:t>
            </m:r>
          </m:e>
          <m:sub>
            <m:r>
              <m:t>s</m:t>
            </m:r>
            <m:r>
              <m:t>m</m:t>
            </m:r>
            <m:r>
              <m:t>o</m:t>
            </m:r>
            <m:r>
              <m:t>k</m:t>
            </m:r>
            <m:r>
              <m:t>e</m:t>
            </m:r>
            <m:r>
              <m:t>r</m:t>
            </m:r>
          </m:sub>
        </m:sSub>
        <m:r>
          <m:rPr>
            <m:sty m:val="p"/>
          </m:rPr>
          <m:t>=</m:t>
        </m:r>
        <m:sSub>
          <m:e>
            <m:r>
              <m:t>μ</m:t>
            </m:r>
          </m:e>
          <m:sub>
            <m:r>
              <m:t>n</m:t>
            </m:r>
            <m:r>
              <m:t>o</m:t>
            </m:r>
            <m:r>
              <m:t>n</m:t>
            </m:r>
            <m:r>
              <m:rPr>
                <m:sty m:val="p"/>
              </m:rPr>
              <m:t>−</m:t>
            </m:r>
            <m:r>
              <m:t>s</m:t>
            </m:r>
            <m:r>
              <m:t>m</m:t>
            </m:r>
            <m:r>
              <m:t>o</m:t>
            </m:r>
            <m:r>
              <m:t>k</m:t>
            </m:r>
            <m:r>
              <m:t>e</m:t>
            </m:r>
            <m:r>
              <m:t>r</m:t>
            </m:r>
          </m:sub>
        </m:sSub>
      </m:oMath>
    </w:p>
    <w:p>
      <w:pPr>
        <w:pStyle w:val="Compact"/>
        <w:numPr>
          <w:ilvl w:val="2"/>
          <w:numId w:val="1003"/>
        </w:numPr>
      </w:pPr>
      <m:oMath>
        <m:sSub>
          <m:e>
            <m:r>
              <m:t>H</m:t>
            </m:r>
          </m:e>
          <m:sub>
            <m:r>
              <m:t>a</m:t>
            </m:r>
          </m:sub>
        </m:sSub>
        <m:r>
          <m:rPr>
            <m:sty m:val="p"/>
          </m:rPr>
          <m:t>:</m:t>
        </m:r>
        <m:sSub>
          <m:e>
            <m:r>
              <m:t>μ</m:t>
            </m:r>
          </m:e>
          <m:sub>
            <m:r>
              <m:t>s</m:t>
            </m:r>
            <m:r>
              <m:t>m</m:t>
            </m:r>
            <m:r>
              <m:t>o</m:t>
            </m:r>
            <m:r>
              <m:t>k</m:t>
            </m:r>
            <m:r>
              <m:t>e</m:t>
            </m:r>
            <m:r>
              <m:t>r</m:t>
            </m:r>
          </m:sub>
        </m:sSub>
        <m:r>
          <m:rPr>
            <m:sty m:val="p"/>
          </m:rPr>
          <m:t>≠</m:t>
        </m:r>
        <m:sSub>
          <m:e>
            <m:r>
              <m:t>μ</m:t>
            </m:r>
          </m:e>
          <m:sub>
            <m:r>
              <m:t>n</m:t>
            </m:r>
            <m:r>
              <m:t>o</m:t>
            </m:r>
            <m:r>
              <m:t>n</m:t>
            </m:r>
            <m:r>
              <m:rPr>
                <m:sty m:val="p"/>
              </m:rPr>
              <m:t>−</m:t>
            </m:r>
            <m:r>
              <m:t>s</m:t>
            </m:r>
            <m:r>
              <m:t>m</m:t>
            </m:r>
            <m:r>
              <m:t>o</m:t>
            </m:r>
            <m:r>
              <m:t>k</m:t>
            </m:r>
            <m:r>
              <m:t>e</m:t>
            </m:r>
            <m:r>
              <m:t>r</m:t>
            </m:r>
          </m:sub>
        </m:sSub>
      </m:oMath>
    </w:p>
    <w:p>
      <w:pPr>
        <w:pStyle w:val="Compact"/>
        <w:numPr>
          <w:ilvl w:val="1"/>
          <w:numId w:val="1002"/>
        </w:numPr>
      </w:pPr>
      <w:r>
        <w:t xml:space="preserve">BMI Category:</w:t>
      </w:r>
    </w:p>
    <w:p>
      <w:pPr>
        <w:pStyle w:val="Compact"/>
        <w:numPr>
          <w:ilvl w:val="2"/>
          <w:numId w:val="1004"/>
        </w:numPr>
      </w:pPr>
      <m:oMath>
        <m:sSub>
          <m:e>
            <m:r>
              <m:t>H</m:t>
            </m:r>
          </m:e>
          <m:sub>
            <m:r>
              <m:t>0</m:t>
            </m:r>
          </m:sub>
        </m:sSub>
        <m:r>
          <m:rPr>
            <m:sty m:val="p"/>
          </m:rPr>
          <m:t>:</m:t>
        </m:r>
        <m:sSub>
          <m:e>
            <m:r>
              <m:t>μ</m:t>
            </m:r>
          </m:e>
          <m:sub>
            <m:r>
              <m:t>u</m:t>
            </m:r>
            <m:r>
              <m:t>n</m:t>
            </m:r>
            <m:r>
              <m:t>d</m:t>
            </m:r>
            <m:r>
              <m:t>e</m:t>
            </m:r>
            <m:r>
              <m:t>r</m:t>
            </m:r>
            <m:r>
              <m:t>w</m:t>
            </m:r>
            <m:r>
              <m:t>e</m:t>
            </m:r>
            <m:r>
              <m:t>i</m:t>
            </m:r>
            <m:r>
              <m:t>g</m:t>
            </m:r>
            <m:r>
              <m:t>h</m:t>
            </m:r>
            <m:r>
              <m:t>t</m:t>
            </m:r>
          </m:sub>
        </m:sSub>
        <m:r>
          <m:rPr>
            <m:sty m:val="p"/>
          </m:rPr>
          <m:t>=</m:t>
        </m:r>
        <m:sSub>
          <m:e>
            <m:r>
              <m:t>μ</m:t>
            </m:r>
          </m:e>
          <m:sub>
            <m:r>
              <m:t>n</m:t>
            </m:r>
            <m:r>
              <m:t>o</m:t>
            </m:r>
            <m:r>
              <m:t>r</m:t>
            </m:r>
            <m:r>
              <m:t>m</m:t>
            </m:r>
            <m:r>
              <m:t>a</m:t>
            </m:r>
            <m:r>
              <m:t>l</m:t>
            </m:r>
          </m:sub>
        </m:sSub>
        <m:r>
          <m:rPr>
            <m:sty m:val="p"/>
          </m:rPr>
          <m:t>=</m:t>
        </m:r>
        <m:sSub>
          <m:e>
            <m:r>
              <m:t>μ</m:t>
            </m:r>
          </m:e>
          <m:sub>
            <m:r>
              <m:t>o</m:t>
            </m:r>
            <m:r>
              <m:t>v</m:t>
            </m:r>
            <m:r>
              <m:t>e</m:t>
            </m:r>
            <m:r>
              <m:t>r</m:t>
            </m:r>
            <m:r>
              <m:t>w</m:t>
            </m:r>
            <m:r>
              <m:t>e</m:t>
            </m:r>
            <m:r>
              <m:t>i</m:t>
            </m:r>
            <m:r>
              <m:t>g</m:t>
            </m:r>
            <m:r>
              <m:t>h</m:t>
            </m:r>
            <m:r>
              <m:t>t</m:t>
            </m:r>
          </m:sub>
        </m:sSub>
        <m:r>
          <m:rPr>
            <m:sty m:val="p"/>
          </m:rPr>
          <m:t>=</m:t>
        </m:r>
        <m:sSub>
          <m:e>
            <m:r>
              <m:t>μ</m:t>
            </m:r>
          </m:e>
          <m:sub>
            <m:r>
              <m:t>o</m:t>
            </m:r>
            <m:r>
              <m:t>b</m:t>
            </m:r>
            <m:r>
              <m:t>e</m:t>
            </m:r>
            <m:r>
              <m:t>s</m:t>
            </m:r>
            <m:r>
              <m:t>e</m:t>
            </m:r>
          </m:sub>
        </m:sSub>
      </m:oMath>
    </w:p>
    <w:p>
      <w:pPr>
        <w:pStyle w:val="Compact"/>
        <w:numPr>
          <w:ilvl w:val="2"/>
          <w:numId w:val="1004"/>
        </w:numPr>
      </w:pPr>
      <m:oMath>
        <m:sSub>
          <m:e>
            <m:r>
              <m:t>H</m:t>
            </m:r>
          </m:e>
          <m:sub>
            <m:r>
              <m:t>a</m:t>
            </m:r>
          </m:sub>
        </m:sSub>
        <m:r>
          <m:rPr>
            <m:sty m:val="p"/>
          </m:rPr>
          <m:t>:</m:t>
        </m:r>
      </m:oMath>
      <w:r>
        <w:t xml:space="preserve"> </w:t>
      </w:r>
      <w:r>
        <w:t xml:space="preserve">At least one BMI categories mean charges significantly differ from the others.</w:t>
      </w:r>
    </w:p>
    <w:p>
      <w:pPr>
        <w:pStyle w:val="Compact"/>
        <w:numPr>
          <w:ilvl w:val="0"/>
          <w:numId w:val="1001"/>
        </w:numPr>
      </w:pPr>
      <w:r>
        <w:t xml:space="preserve">Is there a significant interaction between smoking status and BMI categories on medical costs billed by insurance, meaning that the effect of smoking on medical costs billed by insurance depends on the BMI category of the individual?</w:t>
      </w:r>
    </w:p>
    <w:p>
      <w:pPr>
        <w:pStyle w:val="Compact"/>
        <w:numPr>
          <w:ilvl w:val="1"/>
          <w:numId w:val="1005"/>
        </w:numPr>
      </w:pPr>
      <m:oMath>
        <m:sSub>
          <m:e>
            <m:r>
              <m:t>H</m:t>
            </m:r>
          </m:e>
          <m:sub>
            <m:r>
              <m:t>0</m:t>
            </m:r>
          </m:sub>
        </m:sSub>
        <m:r>
          <m:rPr>
            <m:sty m:val="p"/>
          </m:rPr>
          <m:t>:</m:t>
        </m:r>
      </m:oMath>
      <w:r>
        <w:t xml:space="preserve"> </w:t>
      </w:r>
      <w:r>
        <w:t xml:space="preserve">There is no interaction between smoking status and BMI categories on medical costs billed by insurance.</w:t>
      </w:r>
    </w:p>
    <w:p>
      <w:pPr>
        <w:pStyle w:val="Compact"/>
        <w:numPr>
          <w:ilvl w:val="1"/>
          <w:numId w:val="1005"/>
        </w:numPr>
      </w:pPr>
      <m:oMath>
        <m:sSub>
          <m:e>
            <m:r>
              <m:t>H</m:t>
            </m:r>
          </m:e>
          <m:sub>
            <m:r>
              <m:t>a</m:t>
            </m:r>
          </m:sub>
        </m:sSub>
        <m:r>
          <m:rPr>
            <m:sty m:val="p"/>
          </m:rPr>
          <m:t>:</m:t>
        </m:r>
      </m:oMath>
      <w:r>
        <w:t xml:space="preserve"> </w:t>
      </w:r>
      <w:r>
        <w:t xml:space="preserve">There is a significant interaction between smoking status and BMI categories on medical costs billed by insurance.</w:t>
      </w:r>
    </w:p>
    <w:p>
      <w:pPr>
        <w:pStyle w:val="FirstParagraph"/>
      </w:pPr>
      <w:r>
        <w:t xml:space="preserve">In order to answer these questions we have chosen to utilize three variable from our dataset:</w:t>
      </w:r>
    </w:p>
    <w:p>
      <w:pPr>
        <w:numPr>
          <w:ilvl w:val="0"/>
          <w:numId w:val="1006"/>
        </w:numPr>
      </w:pPr>
      <w:r>
        <w:t xml:space="preserve">BMI (Body Mass Index):</w:t>
      </w:r>
    </w:p>
    <w:p>
      <w:pPr>
        <w:numPr>
          <w:ilvl w:val="1"/>
          <w:numId w:val="1007"/>
        </w:numPr>
      </w:pPr>
      <w:r>
        <w:t xml:space="preserve">Provides an understanding of body weights that are relatively high or low relative to height.</w:t>
      </w:r>
    </w:p>
    <w:p>
      <w:pPr>
        <w:numPr>
          <w:ilvl w:val="1"/>
          <w:numId w:val="1007"/>
        </w:numPr>
      </w:pPr>
      <w:r>
        <w:t xml:space="preserve">Uses the ratio of weight to height:</w:t>
      </w:r>
      <w:r>
        <w:t xml:space="preserve"> </w:t>
      </w:r>
      <m:oMath>
        <m:r>
          <m:t>k</m:t>
        </m:r>
        <m:r>
          <m:t>g</m:t>
        </m:r>
        <m:r>
          <m:rPr>
            <m:sty m:val="p"/>
          </m:rPr>
          <m:t>/</m:t>
        </m:r>
        <m:sSup>
          <m:e>
            <m:r>
              <m:t>m</m:t>
            </m:r>
          </m:e>
          <m:sup>
            <m:r>
              <m:t>2</m:t>
            </m:r>
          </m:sup>
        </m:sSup>
      </m:oMath>
    </w:p>
    <w:p>
      <w:pPr>
        <w:numPr>
          <w:ilvl w:val="1"/>
          <w:numId w:val="1007"/>
        </w:numPr>
      </w:pPr>
      <w:r>
        <w:t xml:space="preserve">According to the CDC, BMI categories for adults 20 and older</w:t>
      </w:r>
      <w:r>
        <w:t xml:space="preserve"> </w:t>
      </w:r>
      <w:r>
        <w:t xml:space="preserve">(</w:t>
      </w:r>
      <w:hyperlink w:anchor="Xc00f9e21965538f2ffb877e4296cba1129ffca6">
        <w:r>
          <w:rPr>
            <w:rStyle w:val="Hyperlink"/>
          </w:rPr>
          <w:t xml:space="preserve">Disease Control and Prevention 2024</w:t>
        </w:r>
      </w:hyperlink>
      <w:r>
        <w:t xml:space="preserve">)</w:t>
      </w:r>
      <w:r>
        <w:t xml:space="preserve"> </w:t>
      </w:r>
      <w:r>
        <w:t xml:space="preserve">are as follows:</w:t>
      </w:r>
    </w:p>
    <w:p>
      <w:pPr>
        <w:pStyle w:val="Compact"/>
        <w:numPr>
          <w:ilvl w:val="2"/>
          <w:numId w:val="1008"/>
        </w:numPr>
      </w:pPr>
      <w:r>
        <w:t xml:space="preserve">Underweight:</w:t>
      </w:r>
      <w:r>
        <w:t xml:space="preserve"> </w:t>
      </w:r>
      <m:oMath>
        <m:r>
          <m:t>B</m:t>
        </m:r>
        <m:r>
          <m:t>M</m:t>
        </m:r>
        <m:r>
          <m:t>I</m:t>
        </m:r>
        <m:r>
          <m:rPr>
            <m:sty m:val="p"/>
          </m:rPr>
          <m:t>&lt;</m:t>
        </m:r>
        <m:r>
          <m:t>18.5</m:t>
        </m:r>
      </m:oMath>
      <w:r>
        <w:t xml:space="preserve">, Healthy Weight:</w:t>
      </w:r>
      <w:r>
        <w:t xml:space="preserve"> </w:t>
      </w:r>
      <m:oMath>
        <m:r>
          <m:t>18.5</m:t>
        </m:r>
        <m:r>
          <m:rPr>
            <m:sty m:val="p"/>
          </m:rPr>
          <m:t>≤</m:t>
        </m:r>
        <m:r>
          <m:t>B</m:t>
        </m:r>
        <m:r>
          <m:t>M</m:t>
        </m:r>
        <m:r>
          <m:t>I</m:t>
        </m:r>
        <m:r>
          <m:rPr>
            <m:sty m:val="p"/>
          </m:rPr>
          <m:t>&lt;</m:t>
        </m:r>
        <m:r>
          <m:t>25</m:t>
        </m:r>
      </m:oMath>
      <w:r>
        <w:t xml:space="preserve">, Overweight:</w:t>
      </w:r>
      <w:r>
        <w:t xml:space="preserve"> </w:t>
      </w:r>
      <m:oMath>
        <m:r>
          <m:t>25</m:t>
        </m:r>
        <m:r>
          <m:rPr>
            <m:sty m:val="p"/>
          </m:rPr>
          <m:t>≤</m:t>
        </m:r>
        <m:r>
          <m:t>B</m:t>
        </m:r>
        <m:r>
          <m:t>M</m:t>
        </m:r>
        <m:r>
          <m:t>I</m:t>
        </m:r>
        <m:r>
          <m:rPr>
            <m:sty m:val="p"/>
          </m:rPr>
          <m:t>&lt;</m:t>
        </m:r>
        <m:r>
          <m:t>30</m:t>
        </m:r>
      </m:oMath>
      <w:r>
        <w:t xml:space="preserve">, Obesity:</w:t>
      </w:r>
      <w:r>
        <w:t xml:space="preserve"> </w:t>
      </w:r>
      <m:oMath>
        <m:r>
          <m:t>30</m:t>
        </m:r>
        <m:r>
          <m:rPr>
            <m:sty m:val="p"/>
          </m:rPr>
          <m:t>≤</m:t>
        </m:r>
        <m:r>
          <m:t>B</m:t>
        </m:r>
        <m:r>
          <m:t>M</m:t>
        </m:r>
        <m:r>
          <m:t>I</m:t>
        </m:r>
      </m:oMath>
    </w:p>
    <w:p>
      <w:pPr>
        <w:numPr>
          <w:ilvl w:val="1"/>
          <w:numId w:val="1007"/>
        </w:numPr>
      </w:pPr>
      <w:r>
        <w:t xml:space="preserve">The dataset records BMI as a numeric variable, but we will be encoding it as a categorical variable with 4 levels according to the CDC’s definitions of BMI categories.</w:t>
      </w:r>
    </w:p>
    <w:p>
      <w:pPr>
        <w:numPr>
          <w:ilvl w:val="0"/>
          <w:numId w:val="1006"/>
        </w:numPr>
      </w:pPr>
      <w:r>
        <w:t xml:space="preserve">Smoker (Smoking Status):</w:t>
      </w:r>
    </w:p>
    <w:p>
      <w:pPr>
        <w:pStyle w:val="Compact"/>
        <w:numPr>
          <w:ilvl w:val="1"/>
          <w:numId w:val="1009"/>
        </w:numPr>
      </w:pPr>
      <w:r>
        <w:t xml:space="preserve">Categorical variable (2 levels), True or False, Indicates whether an individual smokes or not.</w:t>
      </w:r>
    </w:p>
    <w:p>
      <w:pPr>
        <w:numPr>
          <w:ilvl w:val="0"/>
          <w:numId w:val="1006"/>
        </w:numPr>
      </w:pPr>
      <w:r>
        <w:t xml:space="preserve">Charges (Medical Costs Billed by Health Insurance):</w:t>
      </w:r>
    </w:p>
    <w:p>
      <w:pPr>
        <w:pStyle w:val="Compact"/>
        <w:numPr>
          <w:ilvl w:val="1"/>
          <w:numId w:val="1010"/>
        </w:numPr>
      </w:pPr>
      <w:r>
        <w:t xml:space="preserve">Numeric variable, Measured in USD</w:t>
      </w:r>
    </w:p>
    <w:bookmarkEnd w:id="20"/>
    <w:bookmarkStart w:id="21" w:name="methods"/>
    <w:p>
      <w:pPr>
        <w:pStyle w:val="Heading1"/>
      </w:pPr>
      <w:r>
        <w:t xml:space="preserve">Methods</w:t>
      </w:r>
    </w:p>
    <w:p>
      <w:pPr>
        <w:pStyle w:val="FirstParagraph"/>
      </w:pPr>
      <w:r>
        <w:t xml:space="preserve">Since we’re working with 2 categorical independent variables and one numeric dependent variable, we have chosen two-way ANOVA as the appropriate method for exploring the data and answering our research questions.</w:t>
      </w:r>
    </w:p>
    <w:bookmarkEnd w:id="21"/>
    <w:bookmarkStart w:id="22" w:name="conclusion"/>
    <w:p>
      <w:pPr>
        <w:pStyle w:val="Heading1"/>
      </w:pPr>
      <w:r>
        <w:t xml:space="preserve">Conclusion</w:t>
      </w:r>
    </w:p>
    <w:bookmarkEnd w:id="22"/>
    <w:bookmarkStart w:id="30" w:name="references"/>
    <w:p>
      <w:pPr>
        <w:pStyle w:val="Heading1"/>
      </w:pPr>
      <w:r>
        <w:t xml:space="preserve">References</w:t>
      </w:r>
    </w:p>
    <w:bookmarkStart w:id="29" w:name="refs"/>
    <w:bookmarkStart w:id="24" w:name="ref-choi_medical"/>
    <w:p>
      <w:pPr>
        <w:pStyle w:val="Bibliography"/>
      </w:pPr>
      <w:r>
        <w:t xml:space="preserve">Choi, Miri. n.d.</w:t>
      </w:r>
      <w:r>
        <w:t xml:space="preserve"> </w:t>
      </w:r>
      <w:r>
        <w:t xml:space="preserve">“Medical Cost Personal Datasets.”</w:t>
      </w:r>
      <w:r>
        <w:t xml:space="preserve"> </w:t>
      </w:r>
      <w:r>
        <w:t xml:space="preserve">www.kaggle.com.</w:t>
      </w:r>
      <w:r>
        <w:t xml:space="preserve"> </w:t>
      </w:r>
      <w:hyperlink r:id="rId23">
        <w:r>
          <w:rPr>
            <w:rStyle w:val="Hyperlink"/>
          </w:rPr>
          <w:t xml:space="preserve">https://www.kaggle.com/datasets/mirichoi0218/insurance/data</w:t>
        </w:r>
      </w:hyperlink>
      <w:r>
        <w:t xml:space="preserve">.</w:t>
      </w:r>
    </w:p>
    <w:bookmarkEnd w:id="24"/>
    <w:bookmarkStart w:id="26" w:name="Xc00f9e21965538f2ffb877e4296cba1129ffca6"/>
    <w:p>
      <w:pPr>
        <w:pStyle w:val="Bibliography"/>
      </w:pPr>
      <w:r>
        <w:t xml:space="preserve">Disease Control, Centers for, and Prevention. 2024.</w:t>
      </w:r>
      <w:r>
        <w:t xml:space="preserve"> </w:t>
      </w:r>
      <w:r>
        <w:t xml:space="preserve">“Adult BMI Categories.”</w:t>
      </w:r>
      <w:r>
        <w:t xml:space="preserve"> </w:t>
      </w:r>
      <w:r>
        <w:t xml:space="preserve">CDC.</w:t>
      </w:r>
      <w:r>
        <w:t xml:space="preserve"> </w:t>
      </w:r>
      <w:hyperlink r:id="rId25">
        <w:r>
          <w:rPr>
            <w:rStyle w:val="Hyperlink"/>
          </w:rPr>
          <w:t xml:space="preserve">https://www.cdc.gov/bmi/adult-calculator/bmi-categories.html</w:t>
        </w:r>
      </w:hyperlink>
      <w:r>
        <w:t xml:space="preserve">.</w:t>
      </w:r>
    </w:p>
    <w:bookmarkEnd w:id="26"/>
    <w:bookmarkStart w:id="28" w:name="ref-stednick_2022_data"/>
    <w:p>
      <w:pPr>
        <w:pStyle w:val="Bibliography"/>
      </w:pPr>
      <w:r>
        <w:t xml:space="preserve">Stednick, Zach. 2022.</w:t>
      </w:r>
      <w:r>
        <w:t xml:space="preserve"> </w:t>
      </w:r>
      <w:r>
        <w:t xml:space="preserve">“Data for Machine Learning with r.”</w:t>
      </w:r>
      <w:r>
        <w:t xml:space="preserve"> </w:t>
      </w:r>
      <w:r>
        <w:t xml:space="preserve">GitHub.</w:t>
      </w:r>
      <w:r>
        <w:t xml:space="preserve"> </w:t>
      </w:r>
      <w:hyperlink r:id="rId27">
        <w:r>
          <w:rPr>
            <w:rStyle w:val="Hyperlink"/>
          </w:rPr>
          <w:t xml:space="preserve">https://github.com/stedy/Machine-Learning-with-R-datasets/blob/master/insurance.csv</w:t>
        </w:r>
      </w:hyperlink>
      <w:r>
        <w:t xml:space="preserve">.</w:t>
      </w:r>
    </w:p>
    <w:bookmarkEnd w:id="28"/>
    <w:bookmarkEnd w:id="29"/>
    <w:bookmarkEnd w:id="30"/>
    <w:sectPr w:rsidR="005D5FF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486C6D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8790999"/>
    <w:multiLevelType w:val="hybridMultilevel"/>
    <w:tmpl w:val="EAC2AA7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39354743" w:numId="1">
    <w:abstractNumId w:val="0"/>
  </w:num>
  <w:num w16cid:durableId="1181776343"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D5FF7"/>
    <w:rsid w:val="001540A8"/>
    <w:rsid w:val="003C77CA"/>
    <w:rsid w:val="00552216"/>
    <w:rsid w:val="005C699F"/>
    <w:rsid w:val="005D5FF7"/>
    <w:rsid w:val="00860E33"/>
    <w:rsid w:val="0090085E"/>
    <w:rsid w:val="009C0A41"/>
    <w:rsid w:val="00D4171C"/>
    <w:rsid w:val="00F35BBA"/>
    <w:rsid w:val="00FD786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35BBA"/>
    <w:pPr>
      <w:spacing w:line="480" w:lineRule="auto"/>
    </w:pPr>
  </w:style>
  <w:style w:styleId="Heading1" w:type="paragraph">
    <w:name w:val="heading 1"/>
    <w:basedOn w:val="Normal"/>
    <w:next w:val="BodyText"/>
    <w:link w:val="Heading1Char"/>
    <w:uiPriority w:val="9"/>
    <w:qFormat/>
    <w:rsid w:val="005C699F"/>
    <w:pPr>
      <w:keepNext/>
      <w:keepLines/>
      <w:spacing w:after="80" w:before="360"/>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BodyText"/>
    <w:link w:val="Heading2Char"/>
    <w:uiPriority w:val="9"/>
    <w:semiHidden/>
    <w:unhideWhenUsed/>
    <w:qFormat/>
    <w:rsid w:val="001540A8"/>
    <w:pPr>
      <w:keepNext/>
      <w:keepLines/>
      <w:spacing w:after="80" w:before="160"/>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BodyText"/>
    <w:link w:val="Heading3Char"/>
    <w:uiPriority w:val="9"/>
    <w:semiHidden/>
    <w:unhideWhenUsed/>
    <w:qFormat/>
    <w:rsid w:val="001540A8"/>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1540A8"/>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1540A8"/>
    <w:pPr>
      <w:keepNext/>
      <w:keepLines/>
      <w:spacing w:after="40" w:before="80"/>
      <w:outlineLvl w:val="4"/>
    </w:pPr>
    <w:rPr>
      <w:rFonts w:cstheme="majorBidi" w:eastAsiaTheme="majorEastAsia"/>
      <w:color w:themeColor="text1" w:val="00000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F35BBA"/>
    <w:pPr>
      <w:spacing w:after="180" w:before="180"/>
    </w:pPr>
  </w:style>
  <w:style w:customStyle="1" w:styleId="FirstParagraph" w:type="paragraph">
    <w:name w:val="First Paragraph"/>
    <w:basedOn w:val="BodyText"/>
    <w:next w:val="BodyText"/>
    <w:qFormat/>
    <w:rsid w:val="005C699F"/>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4171C"/>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D4171C"/>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FD786D"/>
    <w:pPr>
      <w:spacing w:line="240" w:lineRule="auto"/>
    </w:pPr>
  </w:style>
  <w:style w:customStyle="1" w:styleId="Heading1Char" w:type="character">
    <w:name w:val="Heading 1 Char"/>
    <w:basedOn w:val="DefaultParagraphFont"/>
    <w:link w:val="Heading1"/>
    <w:uiPriority w:val="9"/>
    <w:rsid w:val="005C699F"/>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semiHidden/>
    <w:rsid w:val="001540A8"/>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semiHidden/>
    <w:rsid w:val="001540A8"/>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semiHidden/>
    <w:rsid w:val="001540A8"/>
    <w:rPr>
      <w:rFonts w:cstheme="majorBidi" w:eastAsiaTheme="majorEastAsia"/>
      <w:i/>
      <w:iCs/>
      <w:color w:themeColor="text1" w:val="000000"/>
    </w:rPr>
  </w:style>
  <w:style w:customStyle="1" w:styleId="Heading5Char" w:type="character">
    <w:name w:val="Heading 5 Char"/>
    <w:basedOn w:val="DefaultParagraphFont"/>
    <w:link w:val="Heading5"/>
    <w:uiPriority w:val="9"/>
    <w:semiHidden/>
    <w:rsid w:val="001540A8"/>
    <w:rPr>
      <w:rFonts w:cstheme="majorBidi" w:eastAsiaTheme="majorEastAsia"/>
      <w:color w:themeColor="text1" w:val="00000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stedy/Machine-Learning-with-R-datasets/blob/master/insurance.csv" TargetMode="External" /><Relationship Type="http://schemas.openxmlformats.org/officeDocument/2006/relationships/hyperlink" Id="rId25" Target="https://www.cdc.gov/bmi/adult-calculator/bmi-categories.html" TargetMode="External" /><Relationship Type="http://schemas.openxmlformats.org/officeDocument/2006/relationships/hyperlink" Id="rId23" Target="https://www.kaggle.com/datasets/mirichoi0218/insurance/data"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stedy/Machine-Learning-with-R-datasets/blob/master/insurance.csv" TargetMode="External" /><Relationship Type="http://schemas.openxmlformats.org/officeDocument/2006/relationships/hyperlink" Id="rId25" Target="https://www.cdc.gov/bmi/adult-calculator/bmi-categories.html" TargetMode="External" /><Relationship Type="http://schemas.openxmlformats.org/officeDocument/2006/relationships/hyperlink" Id="rId23" Target="https://www.kaggle.com/datasets/mirichoi0218/insuranc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Cost Analysis</dc:title>
  <dc:creator>Jon Duea &amp; John Clark</dc:creator>
  <cp:keywords/>
  <dcterms:created xsi:type="dcterms:W3CDTF">2025-04-09T22:58:39Z</dcterms:created>
  <dcterms:modified xsi:type="dcterms:W3CDTF">2025-04-09T22:58:39Z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2025-04-09</vt:lpwstr>
  </property>
  <property fmtid="{D5CDD505-2E9C-101B-9397-08002B2CF9AE}" pid="4" name="link-citations">
    <vt:lpwstr>True</vt:lpwstr>
  </property>
  <property fmtid="{D5CDD505-2E9C-101B-9397-08002B2CF9AE}" pid="5" name="output">
    <vt:lpwstr/>
  </property>
</Properties>
</file>