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6B70B2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E3</w:t>
            </w:r>
            <w:r w:rsidR="00755B9F">
              <w:rPr>
                <w:b/>
                <w:sz w:val="40"/>
              </w:rPr>
              <w:t>-</w:t>
            </w:r>
            <w:r w:rsidR="000635C1">
              <w:rPr>
                <w:b/>
                <w:sz w:val="40"/>
              </w:rPr>
              <w:t>M</w:t>
            </w:r>
            <w:r w:rsidR="00D67DC6">
              <w:rPr>
                <w:b/>
                <w:sz w:val="40"/>
              </w:rPr>
              <w:t>Z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E157F4" w:rsidP="00755B9F">
            <w:pPr>
              <w:jc w:val="center"/>
              <w:rPr>
                <w:b/>
                <w:sz w:val="40"/>
              </w:rPr>
            </w:pPr>
            <w:r w:rsidRPr="00E157F4">
              <w:rPr>
                <w:b/>
                <w:sz w:val="40"/>
              </w:rPr>
              <w:t>Střídavé obvody</w:t>
            </w:r>
            <w:r w:rsidRPr="00E157F4">
              <w:rPr>
                <w:b/>
                <w:sz w:val="40"/>
              </w:rPr>
              <w:tab/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0635C1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6"/>
              </w:rPr>
              <w:t>9</w:t>
            </w:r>
            <w:r w:rsidR="00AD5D35">
              <w:rPr>
                <w:b/>
                <w:sz w:val="36"/>
              </w:rPr>
              <w:t>. 10</w:t>
            </w:r>
            <w:r w:rsidR="00755B9F" w:rsidRPr="00755B9F">
              <w:rPr>
                <w:b/>
                <w:sz w:val="36"/>
              </w:rPr>
              <w:t>. 2017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proofErr w:type="spellStart"/>
            <w:r w:rsidRPr="00755B9F">
              <w:rPr>
                <w:b/>
                <w:sz w:val="36"/>
              </w:rPr>
              <w:t>Meinlschmidt</w:t>
            </w:r>
            <w:proofErr w:type="spellEnd"/>
          </w:p>
        </w:tc>
      </w:tr>
    </w:tbl>
    <w:p w:rsidR="00234148" w:rsidRDefault="00234148" w:rsidP="00755B9F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E157F4" w:rsidRPr="00E157F4" w:rsidRDefault="00E157F4" w:rsidP="00E157F4">
      <w:pPr>
        <w:pStyle w:val="Podnadpis"/>
        <w:numPr>
          <w:ilvl w:val="0"/>
          <w:numId w:val="8"/>
        </w:numPr>
      </w:pPr>
      <w:r w:rsidRPr="00E157F4">
        <w:t>Vysvětlete pojmy a uveďte vzorce pro výpočty používané v souvislosti se střídavými obvody:</w:t>
      </w:r>
    </w:p>
    <w:p w:rsidR="00E157F4" w:rsidRPr="00E157F4" w:rsidRDefault="00E157F4" w:rsidP="00E157F4">
      <w:pPr>
        <w:pStyle w:val="Podnadpis"/>
        <w:numPr>
          <w:ilvl w:val="0"/>
          <w:numId w:val="9"/>
        </w:numPr>
      </w:pPr>
      <w:r w:rsidRPr="00E157F4">
        <w:t>Perioda, Frekvence, Fázový posun</w:t>
      </w:r>
    </w:p>
    <w:p w:rsidR="00E157F4" w:rsidRPr="00E157F4" w:rsidRDefault="00E157F4" w:rsidP="00E157F4">
      <w:pPr>
        <w:pStyle w:val="Podnadpis"/>
        <w:numPr>
          <w:ilvl w:val="0"/>
          <w:numId w:val="9"/>
        </w:numPr>
      </w:pPr>
      <w:r w:rsidRPr="00E157F4">
        <w:t>Amplituda, Střední hodnota, Efektivní hodnota</w:t>
      </w:r>
    </w:p>
    <w:p w:rsidR="00E157F4" w:rsidRPr="00E157F4" w:rsidRDefault="00E157F4" w:rsidP="00E157F4">
      <w:pPr>
        <w:pStyle w:val="Podnadpis"/>
        <w:numPr>
          <w:ilvl w:val="0"/>
          <w:numId w:val="9"/>
        </w:numPr>
      </w:pPr>
      <w:r w:rsidRPr="00E157F4">
        <w:t xml:space="preserve">Činný, jalový a </w:t>
      </w:r>
      <w:r w:rsidR="005B0AF3">
        <w:t>zdánlivý výkon</w:t>
      </w:r>
    </w:p>
    <w:p w:rsidR="00E157F4" w:rsidRPr="00E157F4" w:rsidRDefault="00E157F4" w:rsidP="00E157F4">
      <w:pPr>
        <w:pStyle w:val="Podnadpis"/>
        <w:numPr>
          <w:ilvl w:val="0"/>
          <w:numId w:val="8"/>
        </w:numPr>
      </w:pPr>
      <w:r w:rsidRPr="00E157F4">
        <w:t>V zadaném střídavém obvodu vypočítejte:</w:t>
      </w:r>
    </w:p>
    <w:p w:rsidR="00E157F4" w:rsidRPr="00E157F4" w:rsidRDefault="005B0AF3" w:rsidP="00E157F4">
      <w:pPr>
        <w:pStyle w:val="Podnadpis"/>
        <w:numPr>
          <w:ilvl w:val="0"/>
          <w:numId w:val="11"/>
        </w:numPr>
      </w:pPr>
      <w:r>
        <w:t>celkovou impedanci</w:t>
      </w:r>
    </w:p>
    <w:p w:rsidR="00E157F4" w:rsidRPr="00E157F4" w:rsidRDefault="00E157F4" w:rsidP="00E157F4">
      <w:pPr>
        <w:pStyle w:val="Podnadpis"/>
        <w:numPr>
          <w:ilvl w:val="0"/>
          <w:numId w:val="11"/>
        </w:numPr>
      </w:pPr>
      <w:r w:rsidRPr="00E157F4">
        <w:t>celkový proud n</w:t>
      </w:r>
      <w:r w:rsidR="005B0AF3">
        <w:t>ebo celkové napětí (dle zadání)</w:t>
      </w:r>
    </w:p>
    <w:p w:rsidR="00E157F4" w:rsidRPr="00E157F4" w:rsidRDefault="005B0AF3" w:rsidP="00E157F4">
      <w:pPr>
        <w:pStyle w:val="Podnadpis"/>
        <w:numPr>
          <w:ilvl w:val="0"/>
          <w:numId w:val="11"/>
        </w:numPr>
      </w:pPr>
      <w:r>
        <w:t>napětí na jednotlivých prvcích</w:t>
      </w:r>
    </w:p>
    <w:p w:rsidR="00E157F4" w:rsidRPr="00E157F4" w:rsidRDefault="00E157F4" w:rsidP="00E157F4">
      <w:pPr>
        <w:pStyle w:val="Podnadpis"/>
        <w:numPr>
          <w:ilvl w:val="0"/>
          <w:numId w:val="11"/>
        </w:numPr>
      </w:pPr>
      <w:r w:rsidRPr="00E157F4">
        <w:t xml:space="preserve">proud </w:t>
      </w:r>
      <w:r w:rsidR="005B0AF3">
        <w:t>procházející jednotlivými prvky</w:t>
      </w:r>
    </w:p>
    <w:p w:rsidR="00E157F4" w:rsidRPr="00E157F4" w:rsidRDefault="00E157F4" w:rsidP="00E157F4">
      <w:pPr>
        <w:pStyle w:val="Podnadpis"/>
        <w:numPr>
          <w:ilvl w:val="0"/>
          <w:numId w:val="11"/>
        </w:numPr>
      </w:pPr>
      <w:r w:rsidRPr="00E157F4">
        <w:t>celkové výkony ob</w:t>
      </w:r>
      <w:r w:rsidR="005B0AF3">
        <w:t>vodu (činný, zdánlivý, jalový).</w:t>
      </w:r>
    </w:p>
    <w:p w:rsidR="00E157F4" w:rsidRPr="00E157F4" w:rsidRDefault="00E157F4" w:rsidP="00E157F4">
      <w:pPr>
        <w:pStyle w:val="Podnadpis"/>
        <w:numPr>
          <w:ilvl w:val="0"/>
          <w:numId w:val="11"/>
        </w:numPr>
      </w:pPr>
      <w:r w:rsidRPr="00E157F4">
        <w:t xml:space="preserve">fázový posun </w:t>
      </w:r>
      <w:r w:rsidR="005B0AF3">
        <w:t>mezi celkovým napětím a proudem</w:t>
      </w:r>
    </w:p>
    <w:p w:rsidR="00E157F4" w:rsidRPr="00E157F4" w:rsidRDefault="007D08C1" w:rsidP="00E157F4">
      <w:pPr>
        <w:pStyle w:val="Podnadpis"/>
        <w:numPr>
          <w:ilvl w:val="0"/>
          <w:numId w:val="8"/>
        </w:numPr>
      </w:pPr>
      <w:r>
        <w:t xml:space="preserve">Nakreslete fázorový diagram. </w:t>
      </w:r>
      <w:r w:rsidR="00E157F4" w:rsidRPr="00E157F4">
        <w:t>(v měřítku, které bude shodn</w:t>
      </w:r>
      <w:r w:rsidR="005B0AF3">
        <w:t>é pro vodorovnou i svislou osu)</w:t>
      </w:r>
    </w:p>
    <w:p w:rsidR="00234148" w:rsidRDefault="00594AD6" w:rsidP="00E157F4">
      <w:pPr>
        <w:pStyle w:val="Nadpis1"/>
      </w:pPr>
      <w:r>
        <w:t>TEORIE:</w:t>
      </w:r>
    </w:p>
    <w:p w:rsidR="00D67DC6" w:rsidRDefault="00F53539" w:rsidP="00D67DC6">
      <w:pPr>
        <w:pStyle w:val="Podnadpis"/>
      </w:pPr>
      <w:r>
        <w:t>Střídavý proud je v obecné rovině proud, který mění svůj směr. Bavíme-li se o střídavém proudu</w:t>
      </w:r>
      <w:r w:rsidR="00656243">
        <w:t xml:space="preserve"> s periodickým průběhem</w:t>
      </w:r>
      <w:r>
        <w:t xml:space="preserve">, můžeme určit </w:t>
      </w:r>
      <w:r w:rsidRPr="000C2125">
        <w:rPr>
          <w:b/>
        </w:rPr>
        <w:t xml:space="preserve">periodu </w:t>
      </w:r>
      <m:oMath>
        <m:r>
          <m:rPr>
            <m:sty m:val="b"/>
          </m:rPr>
          <w:rPr>
            <w:rFonts w:ascii="Cambria Math" w:hAnsi="Cambria Math"/>
          </w:rPr>
          <m:t xml:space="preserve">T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</m:d>
      </m:oMath>
      <w:r>
        <w:t xml:space="preserve">;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56243">
        <w:t xml:space="preserve"> (udává dobu jednoho opakování periodického děje)</w:t>
      </w:r>
      <w:r>
        <w:t xml:space="preserve">, </w:t>
      </w:r>
      <w:r w:rsidRPr="000C2125">
        <w:rPr>
          <w:b/>
        </w:rPr>
        <w:t>frekvenci</w:t>
      </w:r>
      <w:r w:rsidR="00656243" w:rsidRPr="000C2125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f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Hz</m:t>
            </m:r>
          </m:e>
        </m:d>
      </m:oMath>
      <w:r w:rsidR="00656243">
        <w:t xml:space="preserve">;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656243">
        <w:t xml:space="preserve">(udává počet opakování za jednotku času) </w:t>
      </w:r>
      <w:r>
        <w:t xml:space="preserve">a </w:t>
      </w:r>
      <w:r w:rsidRPr="000C2125">
        <w:rPr>
          <w:b/>
        </w:rPr>
        <w:t>fázový posun</w:t>
      </w:r>
      <w:r w:rsidR="00656243" w:rsidRPr="000C2125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φ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°</m:t>
            </m:r>
          </m:e>
        </m:d>
      </m:oMath>
      <w:r w:rsidR="00656243">
        <w:t xml:space="preserve"> (jinak také fázový rozdíl; </w:t>
      </w:r>
      <w:r w:rsidR="000C2125">
        <w:t>udává fázové posunutí mezi napětím a proudem</w:t>
      </w:r>
      <w:r w:rsidR="00656243">
        <w:t>)</w:t>
      </w:r>
      <w:r>
        <w:t>.</w:t>
      </w:r>
    </w:p>
    <w:p w:rsidR="000C2125" w:rsidRDefault="000C2125" w:rsidP="00C47DEC">
      <w:pPr>
        <w:pStyle w:val="Podnadpis"/>
      </w:pPr>
      <w:r>
        <w:tab/>
      </w:r>
      <w:r w:rsidRPr="000C2125">
        <w:rPr>
          <w:b/>
        </w:rPr>
        <w:t>Amplituda</w:t>
      </w:r>
      <w:r>
        <w:t xml:space="preserve"> (též rozkmit; značeno dolním indexem – velké M) je v periodickém průběhu maximální hodnota veličiny</w:t>
      </w:r>
      <w:r w:rsidR="00C16FAD">
        <w:t xml:space="preserve"> (od osy)</w:t>
      </w:r>
      <w:r>
        <w:t xml:space="preserve">. </w:t>
      </w:r>
      <w:r w:rsidRPr="000C2125">
        <w:rPr>
          <w:b/>
        </w:rPr>
        <w:t>Střední hodnota</w:t>
      </w:r>
      <w:r>
        <w:t xml:space="preserve"> (značeno dolním indexem – velké S) je aritmetickým průměrem všech okamžitých hodnot (v případě harmonického průběhu napětí platí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). </w:t>
      </w:r>
      <w:r w:rsidRPr="00C47DEC">
        <w:rPr>
          <w:b/>
        </w:rPr>
        <w:t>Efektivní hodnota</w:t>
      </w:r>
      <w:r>
        <w:t xml:space="preserve"> (</w:t>
      </w:r>
      <w:r w:rsidR="00C47DEC">
        <w:t xml:space="preserve">většinou značena bez dolního indexu, potažmo – </w:t>
      </w:r>
      <w:proofErr w:type="spellStart"/>
      <w:r w:rsidR="00C47DEC" w:rsidRPr="00C47DEC">
        <w:rPr>
          <w:i/>
        </w:rPr>
        <w:t>ef</w:t>
      </w:r>
      <w:proofErr w:type="spellEnd"/>
      <w:r>
        <w:t>)</w:t>
      </w:r>
      <w:r w:rsidR="00C47DEC">
        <w:t xml:space="preserve"> je definována jako velikost stejnosměrného proudu, který by při průchodu rezistorem vyvolal stejný tepelný účinek. V případě harmonického průběhu platí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47DEC">
        <w:t xml:space="preserve">. V praxi se téměř vždy uvádí pouze efektivní hodnota. Pro </w:t>
      </w:r>
      <w:r w:rsidR="00775DF2">
        <w:t>jiné</w:t>
      </w:r>
      <w:r w:rsidR="003F73B0">
        <w:t>,</w:t>
      </w:r>
      <w:r w:rsidR="00904E24">
        <w:t xml:space="preserve"> nežli harmonické</w:t>
      </w:r>
      <w:r w:rsidR="00C47DEC">
        <w:t xml:space="preserve"> průběhy by bylo potřeby odvodit jiné konstanty!</w:t>
      </w:r>
    </w:p>
    <w:p w:rsidR="00B827FB" w:rsidRDefault="00FC6FC5" w:rsidP="00C433D0">
      <w:pPr>
        <w:pStyle w:val="Podnadpis"/>
      </w:pPr>
      <w:r>
        <w:lastRenderedPageBreak/>
        <w:tab/>
      </w:r>
      <w:r w:rsidRPr="00FC6FC5">
        <w:rPr>
          <w:b/>
        </w:rPr>
        <w:t xml:space="preserve">Výkon </w:t>
      </w:r>
      <m:oMath>
        <m:r>
          <m:rPr>
            <m:sty m:val="bi"/>
          </m:rPr>
          <w:rPr>
            <w:rFonts w:ascii="Cambria Math" w:hAnsi="Cambria Math"/>
          </w:rPr>
          <m:t xml:space="preserve">P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</m:oMath>
      <w:r>
        <w:t xml:space="preserve"> je obecně definován jako práce vykonaná za jednotku času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>.</w:t>
      </w:r>
      <w:r>
        <w:br/>
      </w:r>
      <w:r w:rsidRPr="00FC6FC5">
        <w:t>V případě elektrického výkonu se jedná o elekt</w:t>
      </w:r>
      <w:r>
        <w:t xml:space="preserve">rickou práci, tj. práci kterou vykoná náboj o určité velikosti při přesunu mezi dvěma místy za určitý čas při určitém napěti. Ve stejnosměrném obvodu je výkon definován </w:t>
      </w:r>
      <m:oMath>
        <m:r>
          <w:rPr>
            <w:rFonts w:ascii="Cambria Math" w:hAnsi="Cambria Math"/>
          </w:rPr>
          <m:t>P=U∙I</m:t>
        </m:r>
      </m:oMath>
      <w:r w:rsidR="00D53AE8">
        <w:t xml:space="preserve">, </w:t>
      </w:r>
      <w:r w:rsidR="00B827FB">
        <w:t xml:space="preserve">jelikož se ve stejnosměrném obvodu vyskytuje pouze činná složka. </w:t>
      </w:r>
      <w:r>
        <w:t xml:space="preserve">V případě střídavého proudu se však </w:t>
      </w:r>
      <w:r w:rsidR="00B827FB">
        <w:t>proud i napětí</w:t>
      </w:r>
      <w:r>
        <w:t xml:space="preserve"> s časem </w:t>
      </w:r>
      <w:r w:rsidR="009B6705">
        <w:t>mění,</w:t>
      </w:r>
      <w:r>
        <w:t xml:space="preserve"> a to zejména periodicky s harmonickým </w:t>
      </w:r>
      <w:r w:rsidR="009B6705">
        <w:t>průběhem.</w:t>
      </w:r>
      <w:r w:rsidR="00B827FB">
        <w:t xml:space="preserve"> Tím se od činného odporu dostáváme k</w:t>
      </w:r>
      <w:r w:rsidR="008028FC">
        <w:t xml:space="preserve"> celkové </w:t>
      </w:r>
      <w:r w:rsidR="00B827FB" w:rsidRPr="00B827FB">
        <w:rPr>
          <w:b/>
        </w:rPr>
        <w:t>impedanci</w:t>
      </w:r>
      <w:r w:rsidR="00B827FB">
        <w:rPr>
          <w:b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  <w:color w:val="000000"/>
            <w:szCs w:val="24"/>
          </w:rPr>
          <m:t>Ω</m:t>
        </m:r>
        <m:r>
          <m:rPr>
            <m:sty m:val="bi"/>
          </m:rPr>
          <w:rPr>
            <w:rFonts w:ascii="Cambria Math" w:hAnsi="Cambria Math"/>
          </w:rPr>
          <m:t>]</m:t>
        </m:r>
      </m:oMath>
      <w:r w:rsidR="00B827FB">
        <w:t xml:space="preserve">, která je závislá na frekvenci a mimo </w:t>
      </w:r>
      <w:r w:rsidR="008028FC">
        <w:t>elektrický odpor</w:t>
      </w:r>
      <w:r w:rsidR="00B827FB">
        <w:t xml:space="preserve"> popisuje i </w:t>
      </w:r>
      <w:r w:rsidR="008028FC">
        <w:t>odpor jalový</w:t>
      </w:r>
      <w:r w:rsidR="00B827FB">
        <w:t>.</w:t>
      </w:r>
    </w:p>
    <w:p w:rsidR="00C433D0" w:rsidRPr="00450127" w:rsidRDefault="00D46F4D" w:rsidP="00B827FB">
      <w:pPr>
        <w:pStyle w:val="Podnadpis"/>
        <w:ind w:firstLine="708"/>
      </w:pPr>
      <w:r>
        <w:t>Kolem vodiče, kterým prochází elektrický proud</w:t>
      </w:r>
      <w:r w:rsidR="008028FC">
        <w:t xml:space="preserve">, </w:t>
      </w:r>
      <w:r>
        <w:t xml:space="preserve">vzniká magnetické pole, jelikož se ale proud u střídavého proudu s časem mění, mění se i </w:t>
      </w:r>
      <w:r w:rsidR="008028FC">
        <w:t xml:space="preserve">ono </w:t>
      </w:r>
      <w:r>
        <w:t xml:space="preserve">magnetické pole. Díky této změně </w:t>
      </w:r>
      <w:r w:rsidR="008028FC">
        <w:t>se však v magnetickém poli</w:t>
      </w:r>
      <w:r>
        <w:t xml:space="preserve"> indikuje dle </w:t>
      </w:r>
      <w:r w:rsidRPr="002B7BC2">
        <w:rPr>
          <w:i/>
        </w:rPr>
        <w:t>Faradayova zákona</w:t>
      </w:r>
      <w:r w:rsidR="00B827FB">
        <w:t xml:space="preserve"> elektrické napětí.</w:t>
      </w:r>
    </w:p>
    <w:p w:rsidR="00B827FB" w:rsidRDefault="00B827FB" w:rsidP="00B827FB">
      <w:pPr>
        <w:pStyle w:val="Podnadpis"/>
        <w:ind w:firstLine="708"/>
      </w:pPr>
      <w:r>
        <w:t>D</w:t>
      </w:r>
      <w:r w:rsidR="00027E50" w:rsidRPr="00450127">
        <w:t xml:space="preserve">le </w:t>
      </w:r>
      <w:proofErr w:type="spellStart"/>
      <w:r w:rsidR="00027E50" w:rsidRPr="002B7BC2">
        <w:rPr>
          <w:i/>
        </w:rPr>
        <w:t>L</w:t>
      </w:r>
      <w:bookmarkStart w:id="0" w:name="_GoBack"/>
      <w:bookmarkEnd w:id="0"/>
      <w:r w:rsidR="00027E50" w:rsidRPr="002B7BC2">
        <w:rPr>
          <w:i/>
        </w:rPr>
        <w:t>enzova</w:t>
      </w:r>
      <w:proofErr w:type="spellEnd"/>
      <w:r w:rsidR="00027E50" w:rsidRPr="002B7BC2">
        <w:rPr>
          <w:i/>
        </w:rPr>
        <w:t xml:space="preserve"> zákona</w:t>
      </w:r>
      <w:r w:rsidR="00027E50" w:rsidRPr="00450127">
        <w:t xml:space="preserve"> </w:t>
      </w:r>
      <w:r>
        <w:t xml:space="preserve">toto indukované napětí má opačnou polaritu, a </w:t>
      </w:r>
      <w:r w:rsidR="00027E50" w:rsidRPr="00450127">
        <w:t>působí</w:t>
      </w:r>
      <w:r>
        <w:t xml:space="preserve"> tak</w:t>
      </w:r>
      <w:r w:rsidR="00027E50" w:rsidRPr="00450127">
        <w:t xml:space="preserve"> proti proudu, který jej vytváří.</w:t>
      </w:r>
      <w:r w:rsidR="00C433D0" w:rsidRPr="00450127">
        <w:t xml:space="preserve"> </w:t>
      </w:r>
      <w:r w:rsidR="00027E50" w:rsidRPr="00450127">
        <w:t>Ačkoliv je</w:t>
      </w:r>
      <w:r w:rsidR="00095451" w:rsidRPr="00450127">
        <w:t xml:space="preserve"> ohmický</w:t>
      </w:r>
      <w:r w:rsidR="00027E50" w:rsidRPr="00450127">
        <w:t xml:space="preserve"> odpor ideální cívky nulový (cívka je vodič), klade díky tomuto jevu zdánlivý odpor proudu, který nazýváme </w:t>
      </w:r>
      <w:r w:rsidR="00027E50" w:rsidRPr="00450127">
        <w:rPr>
          <w:b/>
        </w:rPr>
        <w:t xml:space="preserve">induktivní reaktance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[</m:t>
        </m:r>
        <m:r>
          <m:rPr>
            <m:sty m:val="b"/>
          </m:rPr>
          <w:rPr>
            <w:rFonts w:ascii="Cambria Math" w:hAnsi="Cambria Math"/>
            <w:color w:val="000000"/>
            <w:szCs w:val="24"/>
          </w:rPr>
          <m:t>Ω</m:t>
        </m:r>
        <m:r>
          <m:rPr>
            <m:sty m:val="bi"/>
          </m:rPr>
          <w:rPr>
            <w:rFonts w:ascii="Cambria Math" w:hAnsi="Cambria Math"/>
          </w:rPr>
          <m:t>]</m:t>
        </m:r>
      </m:oMath>
      <w:r w:rsidR="00F455F5" w:rsidRPr="00450127">
        <w:t xml:space="preserve"> (jinými slovy – induktance)</w:t>
      </w:r>
      <w:r w:rsidR="00C433D0" w:rsidRPr="00450127">
        <w:t xml:space="preserve">. Platí zde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=L∙ω</m:t>
        </m:r>
      </m:oMath>
      <w:r w:rsidR="00C433D0" w:rsidRPr="00450127">
        <w:t xml:space="preserve">; kde </w:t>
      </w:r>
      <m:oMath>
        <m:r>
          <w:rPr>
            <w:rFonts w:ascii="Cambria Math" w:hAnsi="Cambria Math"/>
          </w:rPr>
          <m:t>L</m:t>
        </m:r>
      </m:oMath>
      <w:r w:rsidR="00C433D0" w:rsidRPr="00450127">
        <w:t xml:space="preserve"> je indukčnost cívky</w:t>
      </w:r>
      <w:r w:rsidR="00775DF2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C433D0" w:rsidRPr="00450127">
        <w:t xml:space="preserve"> a </w:t>
      </w:r>
      <m:oMath>
        <m:r>
          <w:rPr>
            <w:rFonts w:ascii="Cambria Math" w:hAnsi="Cambria Math"/>
          </w:rPr>
          <m:t>ω</m:t>
        </m:r>
      </m:oMath>
      <w:r w:rsidR="00C433D0" w:rsidRPr="00450127">
        <w:t xml:space="preserve"> úhlová rychlost</w:t>
      </w:r>
      <w:r w:rsidR="00543F4E" w:rsidRPr="00450127">
        <w:t xml:space="preserve"> </w:t>
      </w:r>
      <m:oMath>
        <m:r>
          <w:rPr>
            <w:rFonts w:ascii="Cambria Math" w:hAnsi="Cambria Math"/>
          </w:rPr>
          <m:t>ω=2πf</m:t>
        </m:r>
      </m:oMath>
      <w:r w:rsidR="00543F4E" w:rsidRPr="00450127">
        <w:t xml:space="preserve">. </w:t>
      </w:r>
      <w:r w:rsidR="00775DF2">
        <w:t>Indukční reaktance</w:t>
      </w:r>
      <w:r w:rsidR="00543F4E" w:rsidRPr="00450127">
        <w:t xml:space="preserve"> dále způsobuje v obvodu fázový posun</w:t>
      </w:r>
      <w:r w:rsidR="00095451" w:rsidRPr="00450127">
        <w:t xml:space="preserve">. Proud je 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(90°) zpožděn za napětím.</w:t>
      </w:r>
    </w:p>
    <w:p w:rsidR="00C433D0" w:rsidRDefault="00B827FB" w:rsidP="00B827FB">
      <w:pPr>
        <w:pStyle w:val="Podnadpis"/>
        <w:ind w:firstLine="708"/>
      </w:pPr>
      <w:r>
        <w:t>Při první půlvlně</w:t>
      </w:r>
      <w:r w:rsidR="00095451" w:rsidRPr="00450127">
        <w:t xml:space="preserve"> se na cívce indukuje napětí, které je stejně velké jako napětí zdroje, ale má opačnou fázi (</w:t>
      </w:r>
      <w:r w:rsidR="005A6AC3">
        <w:t xml:space="preserve">tj. </w:t>
      </w:r>
      <w:r w:rsidR="00095451" w:rsidRPr="00450127">
        <w:t>působí</w:t>
      </w:r>
      <w:r w:rsidR="00775DF2">
        <w:t xml:space="preserve"> opačným směrem </w:t>
      </w:r>
      <w:r w:rsidR="00095451" w:rsidRPr="00450127">
        <w:t xml:space="preserve">– </w:t>
      </w:r>
      <w:proofErr w:type="spellStart"/>
      <w:r w:rsidR="00095451" w:rsidRPr="002B7BC2">
        <w:rPr>
          <w:i/>
        </w:rPr>
        <w:t>Lenzův</w:t>
      </w:r>
      <w:proofErr w:type="spellEnd"/>
      <w:r w:rsidR="00095451" w:rsidRPr="002B7BC2">
        <w:rPr>
          <w:i/>
        </w:rPr>
        <w:t xml:space="preserve"> zákon</w:t>
      </w:r>
      <w:r w:rsidR="00095451" w:rsidRPr="00450127">
        <w:t>). Proud obvodem je v tu chvíli nulový a</w:t>
      </w:r>
      <w:r>
        <w:t xml:space="preserve"> s klesajícím indukovaným napětím začíná růst </w:t>
      </w:r>
      <w:r w:rsidR="00095451" w:rsidRPr="00450127">
        <w:t>(vrchol periody</w:t>
      </w:r>
      <w:r w:rsidR="00775DF2">
        <w:t xml:space="preserve"> napětí</w:t>
      </w:r>
      <w:r w:rsidR="00095451" w:rsidRPr="00450127">
        <w:t xml:space="preserve"> – nejm</w:t>
      </w:r>
      <w:r w:rsidR="00450127">
        <w:t>e</w:t>
      </w:r>
      <w:r w:rsidR="00095451" w:rsidRPr="00450127">
        <w:t>nší změny, indukované napětí je tedy nejmenší a nepůsobí tak proti proudu</w:t>
      </w:r>
      <w:r w:rsidR="00775DF2">
        <w:t>, ten má „volný“ průchod</w:t>
      </w:r>
      <w:r w:rsidR="00095451" w:rsidRPr="00450127">
        <w:t>). Obvodem poteče maximální proud tehdy, když napětí indukované na cívce bude nulové</w:t>
      </w:r>
      <w:r w:rsidR="009F2FA5" w:rsidRPr="00450127">
        <w:t>.</w:t>
      </w:r>
    </w:p>
    <w:p w:rsidR="00685041" w:rsidRPr="00685041" w:rsidRDefault="00DA371F" w:rsidP="00685041">
      <w:pPr>
        <w:pStyle w:val="Podnadpis"/>
      </w:pPr>
      <w:r>
        <w:tab/>
        <w:t>Naopak fázový posun je u ideálního kondenzátoru opačný (tj. p</w:t>
      </w:r>
      <w:r w:rsidRPr="00450127">
        <w:t xml:space="preserve">roud je 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Pr="00450127">
        <w:t xml:space="preserve"> </w:t>
      </w:r>
      <w:r>
        <w:t>před</w:t>
      </w:r>
      <w:r w:rsidRPr="00450127">
        <w:t xml:space="preserve"> napětím</w:t>
      </w:r>
      <w:r>
        <w:t xml:space="preserve">). To je způsobeno </w:t>
      </w:r>
      <w:r w:rsidR="00B827FB">
        <w:t xml:space="preserve">fyzikálním </w:t>
      </w:r>
      <w:r>
        <w:t xml:space="preserve">principem kondenzátoru, </w:t>
      </w:r>
      <w:r w:rsidR="008028FC">
        <w:t>kdy mezi vodivými deskami je umístěno dielektrikum. Do desek</w:t>
      </w:r>
      <w:r>
        <w:t xml:space="preserve"> kondenzátoru teče elektrický proud </w:t>
      </w:r>
      <m:oMath>
        <m:r>
          <w:rPr>
            <w:rFonts w:ascii="Cambria Math" w:hAnsi="Cambria Math"/>
          </w:rPr>
          <m:t>I</m:t>
        </m:r>
      </m:oMath>
      <w:r>
        <w:t>, jehož náboje jsou v deskách indukovány</w:t>
      </w:r>
      <w:r w:rsidR="00685041">
        <w:t xml:space="preserve"> a</w:t>
      </w:r>
      <w:r>
        <w:t xml:space="preserve"> drženy polarizovaným dielektrikem (dielektrikum má opačnou polaritu nežli náboje na desce – přitahují se).</w:t>
      </w:r>
      <w:r w:rsidR="008028FC">
        <w:t xml:space="preserve"> Náboje tedy v ideálním kondenzátoru nemají kam uniknout (ve skutečnosti náboje časem dielektrikem projdou, až dojde k vyrovnání potenciálů)</w:t>
      </w:r>
      <w:r>
        <w:t xml:space="preserve"> </w:t>
      </w:r>
      <w:r w:rsidR="00685041">
        <w:t>Napětí mezi deskami dosahuje hodnoty obvodu až po úplném nabití. Proto je napětí zpožděné oproti proudu.</w:t>
      </w:r>
      <w:r w:rsidR="000C5DC6">
        <w:t xml:space="preserve"> </w:t>
      </w:r>
      <w:r w:rsidR="003F73B0">
        <w:t>Odpor,</w:t>
      </w:r>
      <w:r w:rsidR="00685041">
        <w:t xml:space="preserve"> který </w:t>
      </w:r>
      <w:r w:rsidR="008028FC">
        <w:t xml:space="preserve">je kladen </w:t>
      </w:r>
      <w:r w:rsidR="003F73B0">
        <w:t xml:space="preserve">při vytváření elektrického pole nazýváme </w:t>
      </w:r>
      <w:r w:rsidR="003F73B0" w:rsidRPr="00D40196">
        <w:rPr>
          <w:b/>
        </w:rPr>
        <w:t>kapacitní reaktance</w:t>
      </w:r>
      <w:r w:rsidR="003F73B0" w:rsidRPr="003F73B0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3F73B0">
        <w:t xml:space="preserve"> (jinými slovy – kapacitance)</w:t>
      </w:r>
      <w:r w:rsidR="008028FC">
        <w:t>.</w:t>
      </w:r>
    </w:p>
    <w:p w:rsidR="00642096" w:rsidRDefault="00C433D0" w:rsidP="00642096">
      <w:pPr>
        <w:pStyle w:val="Podnadpis"/>
        <w:ind w:firstLine="708"/>
      </w:pPr>
      <w:r w:rsidRPr="00450127">
        <w:lastRenderedPageBreak/>
        <w:t>Induktivní reaktance</w:t>
      </w:r>
      <w:r w:rsidR="00F455F5" w:rsidRPr="00450127">
        <w:t xml:space="preserve"> je spolu s kapacitní reaktancí součástí</w:t>
      </w:r>
      <w:r w:rsidR="005F3079">
        <w:t xml:space="preserve"> celkové</w:t>
      </w:r>
      <w:r w:rsidR="00F455F5" w:rsidRPr="00450127">
        <w:t xml:space="preserve"> </w:t>
      </w:r>
      <w:r w:rsidRPr="008028FC">
        <w:rPr>
          <w:b/>
        </w:rPr>
        <w:t>reaktance</w:t>
      </w:r>
      <w:r w:rsidR="008028FC">
        <w:rPr>
          <w:b/>
        </w:rPr>
        <w:t xml:space="preserve"> X </w:t>
      </w:r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  <w:color w:val="000000"/>
            <w:szCs w:val="24"/>
          </w:rPr>
          <m:t>Ω</m:t>
        </m:r>
        <m:r>
          <m:rPr>
            <m:sty m:val="bi"/>
          </m:rPr>
          <w:rPr>
            <w:rFonts w:ascii="Cambria Math" w:hAnsi="Cambria Math"/>
          </w:rPr>
          <m:t>]</m:t>
        </m:r>
      </m:oMath>
      <w:r w:rsidR="008028FC">
        <w:t xml:space="preserve"> </w:t>
      </w:r>
      <w:r w:rsidR="00F455F5" w:rsidRPr="00450127">
        <w:t>(jinými slovy – jalového odporu)</w:t>
      </w:r>
      <w:r w:rsidR="00CA31E3" w:rsidRPr="00450127">
        <w:t>.</w:t>
      </w:r>
      <w:r w:rsidR="008028FC">
        <w:t xml:space="preserve"> Reaktance je spolu s elektrickým odporem součástí </w:t>
      </w:r>
      <w:r w:rsidR="008028FC" w:rsidRPr="008028FC">
        <w:rPr>
          <w:b/>
        </w:rPr>
        <w:t>impeda</w:t>
      </w:r>
      <w:r w:rsidR="008028FC">
        <w:rPr>
          <w:b/>
        </w:rPr>
        <w:t>n</w:t>
      </w:r>
      <w:r w:rsidR="008028FC" w:rsidRPr="008028FC">
        <w:rPr>
          <w:b/>
        </w:rPr>
        <w:t>ce</w:t>
      </w:r>
      <w:r w:rsidR="008028FC">
        <w:t>, která jako komplexní číslo vyjadřuje na reálné ose elektrický odpor a na imaginární odpor jalový (</w:t>
      </w:r>
      <w:r w:rsidR="008028FC" w:rsidRPr="008028FC">
        <w:rPr>
          <w:b/>
        </w:rPr>
        <w:t>reaktanci</w:t>
      </w:r>
      <w:r w:rsidR="008028FC">
        <w:t>), díky tomu popisuje i fázový posun mezi těmito složkami.</w:t>
      </w:r>
    </w:p>
    <w:p w:rsidR="00642096" w:rsidRPr="005F3079" w:rsidRDefault="00642096" w:rsidP="00642096">
      <w:pPr>
        <w:pStyle w:val="Podnadpis"/>
      </w:pPr>
      <m:oMathPara>
        <m:oMath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Z=R+jX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F3079" w:rsidRPr="005F3079" w:rsidRDefault="005F3079" w:rsidP="005F3079">
      <w:pPr>
        <w:pStyle w:val="Podnadpis"/>
        <w:ind w:firstLine="708"/>
        <w:rPr>
          <w:i/>
        </w:rPr>
      </w:pPr>
      <w:r>
        <w:t xml:space="preserve">Od jednotlivých složek impedance lze odvodit i výkon. Pro </w:t>
      </w:r>
      <w:r w:rsidRPr="005F3079">
        <w:rPr>
          <w:b/>
        </w:rPr>
        <w:t>činný výkon</w:t>
      </w:r>
      <w:r>
        <w:t xml:space="preserve"> platí stejně jako u stejnosměrných obvodů vztah </w:t>
      </w:r>
      <m:oMath>
        <m:r>
          <w:rPr>
            <w:rFonts w:ascii="Cambria Math" w:hAnsi="Cambria Math"/>
          </w:rPr>
          <m:t xml:space="preserve">P=U∙I </m:t>
        </m:r>
        <m:r>
          <w:rPr>
            <w:rFonts w:ascii="Cambria Math" w:hAnsi="Cambria Math"/>
            <w:lang w:val="en-US"/>
          </w:rPr>
          <m:t>[W]</m:t>
        </m:r>
      </m:oMath>
      <w:r>
        <w:rPr>
          <w:lang w:val="en-US"/>
        </w:rPr>
        <w:t xml:space="preserve">; u </w:t>
      </w:r>
      <w:proofErr w:type="spellStart"/>
      <w:r>
        <w:rPr>
          <w:lang w:val="en-US"/>
        </w:rPr>
        <w:t>střídavých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obvodů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přidává</w:t>
      </w:r>
      <w:proofErr w:type="spellEnd"/>
      <w:r>
        <w:rPr>
          <w:lang w:val="en-US"/>
        </w:rPr>
        <w:t xml:space="preserve"> </w:t>
      </w:r>
      <w:proofErr w:type="spellStart"/>
      <w:r w:rsidRPr="005F3079">
        <w:rPr>
          <w:b/>
          <w:lang w:val="en-US"/>
        </w:rPr>
        <w:t>složka</w:t>
      </w:r>
      <w:proofErr w:type="spellEnd"/>
      <w:r w:rsidRPr="005F3079">
        <w:rPr>
          <w:b/>
          <w:lang w:val="en-US"/>
        </w:rPr>
        <w:t xml:space="preserve"> </w:t>
      </w:r>
      <w:proofErr w:type="spellStart"/>
      <w:r w:rsidRPr="005F3079">
        <w:rPr>
          <w:b/>
          <w:lang w:val="en-US"/>
        </w:rPr>
        <w:t>jalová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závislá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fázovém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posunu</w:t>
      </w:r>
      <w:proofErr w:type="spellEnd"/>
      <w:r>
        <w:rPr>
          <w:lang w:val="en-US"/>
        </w:rPr>
        <w:t xml:space="preserve">) </w:t>
      </w:r>
      <m:oMath>
        <m:r>
          <w:rPr>
            <w:rFonts w:ascii="Cambria Math" w:hAnsi="Cambria Math"/>
            <w:lang w:val="en-US"/>
          </w:rPr>
          <m:t>Q=U∙I∙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φ</m:t>
            </m:r>
          </m:e>
        </m:func>
      </m:oMath>
      <w:r>
        <w:rPr>
          <w:lang w:val="en-US"/>
        </w:rPr>
        <w:t xml:space="preserve"> [VA]. Jejich součtem vzniká </w:t>
      </w:r>
      <w:proofErr w:type="spellStart"/>
      <w:r w:rsidRPr="00692A2F">
        <w:rPr>
          <w:b/>
          <w:lang w:val="en-US"/>
        </w:rPr>
        <w:t>zdánlivý</w:t>
      </w:r>
      <w:proofErr w:type="spellEnd"/>
      <w:r w:rsidRPr="00692A2F">
        <w:rPr>
          <w:b/>
          <w:lang w:val="en-US"/>
        </w:rPr>
        <w:t xml:space="preserve"> </w:t>
      </w:r>
      <w:proofErr w:type="spellStart"/>
      <w:r w:rsidRPr="00692A2F">
        <w:rPr>
          <w:b/>
          <w:lang w:val="en-US"/>
        </w:rPr>
        <w:t>výkon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lang w:val="en-US"/>
        </w:rPr>
        <w:t xml:space="preserve"> [VAR].</w:t>
      </w:r>
    </w:p>
    <w:p w:rsidR="00234148" w:rsidRDefault="00962418" w:rsidP="00234148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3619500" cy="2628900"/>
            <wp:effectExtent l="0" t="0" r="0" b="0"/>
            <wp:wrapTopAndBottom/>
            <wp:docPr id="1" name="Obrázek 1" descr="H:\Disk Google\Škola\SPS-CL\_ELE\MĚŘENÍ\3E0\obrazky\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sk Google\Škola\SPS-CL\_ELE\MĚŘENÍ\3E0\obrazky\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148">
        <w:t>SCHÉMA ZAPOJENÍ:</w:t>
      </w:r>
    </w:p>
    <w:p w:rsidR="00962418" w:rsidRDefault="00962418" w:rsidP="00962418"/>
    <w:p w:rsidR="00594AD6" w:rsidRDefault="00594AD6" w:rsidP="00234148">
      <w:pPr>
        <w:pStyle w:val="Nadpis1"/>
      </w:pPr>
      <w:r>
        <w:t>POUŽITÉ PŘÍSTROJE A POMŮCKY:</w:t>
      </w:r>
    </w:p>
    <w:p w:rsidR="001100A7" w:rsidRDefault="00086411" w:rsidP="004C03CC">
      <w:pPr>
        <w:pStyle w:val="Podnadpis"/>
      </w:pPr>
      <w:r>
        <w:t xml:space="preserve">Nebyly užity žádné </w:t>
      </w:r>
      <w:r w:rsidR="007D08C1">
        <w:t>měřicí</w:t>
      </w:r>
      <w:r>
        <w:t xml:space="preserve"> přístroje ani zařízení.</w:t>
      </w:r>
    </w:p>
    <w:p w:rsidR="00234148" w:rsidRDefault="00594AD6" w:rsidP="00234148">
      <w:pPr>
        <w:pStyle w:val="Nadpis1"/>
      </w:pPr>
      <w:r>
        <w:t>POPIS PRÁCE:</w:t>
      </w:r>
    </w:p>
    <w:p w:rsidR="00F51BB3" w:rsidRDefault="004C03CC" w:rsidP="004C03CC">
      <w:pPr>
        <w:pStyle w:val="Podnadpis"/>
      </w:pPr>
      <w:r>
        <w:t>Žádné měření</w:t>
      </w:r>
      <w:r w:rsidR="009B7C0A">
        <w:t xml:space="preserve"> s tímto protokolem</w:t>
      </w:r>
      <w:r>
        <w:t xml:space="preserve"> neprobíhalo.</w:t>
      </w:r>
    </w:p>
    <w:p w:rsidR="006834D9" w:rsidRDefault="006834D9" w:rsidP="006834D9">
      <w:pPr>
        <w:pStyle w:val="Podnadpis"/>
        <w:sectPr w:rsidR="006834D9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</w:sectPr>
      </w:pPr>
    </w:p>
    <w:p w:rsidR="00594AD6" w:rsidRDefault="00594AD6" w:rsidP="00075717">
      <w:pPr>
        <w:pStyle w:val="Nadpis1"/>
      </w:pPr>
      <w:r>
        <w:lastRenderedPageBreak/>
        <w:t>TABULKY:</w:t>
      </w:r>
    </w:p>
    <w:p w:rsidR="00992E66" w:rsidRPr="00992E66" w:rsidRDefault="00992E66" w:rsidP="00992E66">
      <w:pPr>
        <w:pStyle w:val="Podnadpis"/>
      </w:pPr>
      <w:r w:rsidRPr="00992E66">
        <w:t>Tučně jsou označeny známé hodnoty ze zadání.</w:t>
      </w:r>
    </w:p>
    <w:p w:rsidR="00992E66" w:rsidRPr="00992E66" w:rsidRDefault="00992E66" w:rsidP="00992E66">
      <w:pPr>
        <w:pStyle w:val="Podnadpis"/>
      </w:pPr>
      <w:r>
        <w:t xml:space="preserve">Frekvence </w:t>
      </w:r>
      <m:oMath>
        <m:r>
          <m:rPr>
            <m:sty m:val="p"/>
          </m:rPr>
          <w:rPr>
            <w:rFonts w:ascii="Cambria Math" w:hAnsi="Cambria Math"/>
          </w:rPr>
          <m:t>f=10 kHz=1,00∙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tbl>
      <w:tblPr>
        <w:tblW w:w="148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6"/>
        <w:gridCol w:w="2485"/>
        <w:gridCol w:w="1884"/>
        <w:gridCol w:w="2510"/>
        <w:gridCol w:w="1843"/>
        <w:gridCol w:w="1690"/>
        <w:gridCol w:w="1691"/>
        <w:gridCol w:w="1691"/>
      </w:tblGrid>
      <w:tr w:rsidR="00406E8F" w:rsidRPr="00F51BB3" w:rsidTr="0075056E">
        <w:trPr>
          <w:trHeight w:val="385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992E66" w:rsidRPr="00F51BB3" w:rsidRDefault="00992E66" w:rsidP="006834D9">
            <w:pPr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5" w:type="dxa"/>
            <w:shd w:val="clear" w:color="auto" w:fill="auto"/>
            <w:noWrap/>
            <w:vAlign w:val="center"/>
            <w:hideMark/>
          </w:tcPr>
          <w:p w:rsidR="00992E66" w:rsidRPr="00F51BB3" w:rsidRDefault="00992E66" w:rsidP="006834D9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Z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[Ω]</w:t>
            </w:r>
          </w:p>
        </w:tc>
        <w:tc>
          <w:tcPr>
            <w:tcW w:w="1884" w:type="dxa"/>
            <w:vAlign w:val="center"/>
          </w:tcPr>
          <w:p w:rsidR="00992E66" w:rsidRPr="00D63350" w:rsidRDefault="00992E66" w:rsidP="006834D9">
            <w:pPr>
              <w:jc w:val="righ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L </w:t>
            </w:r>
            <w:r w:rsidR="00E32E1E">
              <w:rPr>
                <w:b/>
                <w:color w:val="000000"/>
                <w:sz w:val="24"/>
                <w:szCs w:val="24"/>
              </w:rPr>
              <w:t>[H</w:t>
            </w:r>
            <w:r w:rsidRPr="00F51BB3"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992E66" w:rsidRPr="00992E66" w:rsidRDefault="00992E66" w:rsidP="006834D9">
            <w:pPr>
              <w:jc w:val="righ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U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[V]</w:t>
            </w:r>
          </w:p>
        </w:tc>
        <w:tc>
          <w:tcPr>
            <w:tcW w:w="1843" w:type="dxa"/>
            <w:vAlign w:val="center"/>
          </w:tcPr>
          <w:p w:rsidR="00992E66" w:rsidRDefault="00992E66" w:rsidP="006834D9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 [A]</w:t>
            </w:r>
          </w:p>
        </w:tc>
        <w:tc>
          <w:tcPr>
            <w:tcW w:w="1690" w:type="dxa"/>
            <w:tcBorders>
              <w:bottom w:val="single" w:sz="2" w:space="0" w:color="auto"/>
            </w:tcBorders>
            <w:vAlign w:val="center"/>
          </w:tcPr>
          <w:p w:rsidR="00992E66" w:rsidRDefault="00992E66" w:rsidP="006834D9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 [W]</w:t>
            </w:r>
          </w:p>
        </w:tc>
        <w:tc>
          <w:tcPr>
            <w:tcW w:w="1691" w:type="dxa"/>
            <w:vAlign w:val="center"/>
          </w:tcPr>
          <w:p w:rsidR="00992E66" w:rsidRDefault="00992E66" w:rsidP="006834D9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Q [VA]</w:t>
            </w:r>
          </w:p>
        </w:tc>
        <w:tc>
          <w:tcPr>
            <w:tcW w:w="1691" w:type="dxa"/>
            <w:vAlign w:val="center"/>
          </w:tcPr>
          <w:p w:rsidR="00992E66" w:rsidRDefault="00992E66" w:rsidP="006834D9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 [VAR]</w:t>
            </w:r>
          </w:p>
        </w:tc>
      </w:tr>
      <w:tr w:rsidR="00B14492" w:rsidRPr="00F51BB3" w:rsidTr="0075056E">
        <w:trPr>
          <w:trHeight w:val="585"/>
        </w:trPr>
        <w:tc>
          <w:tcPr>
            <w:tcW w:w="1056" w:type="dxa"/>
            <w:shd w:val="clear" w:color="auto" w:fill="auto"/>
            <w:noWrap/>
            <w:vAlign w:val="center"/>
          </w:tcPr>
          <w:p w:rsidR="00B14492" w:rsidRPr="00896FCE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 w:rsidRPr="00450127">
              <w:t>–</w:t>
            </w:r>
            <w:r>
              <w:rPr>
                <w:color w:val="000000"/>
                <w:sz w:val="24"/>
                <w:szCs w:val="24"/>
              </w:rPr>
              <w:t>L</w:t>
            </w:r>
          </w:p>
        </w:tc>
        <w:tc>
          <w:tcPr>
            <w:tcW w:w="2485" w:type="dxa"/>
            <w:shd w:val="clear" w:color="auto" w:fill="auto"/>
            <w:noWrap/>
            <w:vAlign w:val="center"/>
          </w:tcPr>
          <w:p w:rsidR="00B14492" w:rsidRPr="00406E8F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</w:rPr>
                  <m:t>1,490∙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j∙57,525°</m:t>
                    </m:r>
                  </m:sup>
                </m:sSup>
              </m:oMath>
            </m:oMathPara>
          </w:p>
        </w:tc>
        <w:tc>
          <w:tcPr>
            <w:tcW w:w="1884" w:type="dxa"/>
            <w:tcBorders>
              <w:bottom w:val="single" w:sz="2" w:space="0" w:color="auto"/>
            </w:tcBorders>
            <w:vAlign w:val="center"/>
          </w:tcPr>
          <w:p w:rsidR="00B14492" w:rsidRPr="00720BA3" w:rsidRDefault="00B14492" w:rsidP="00B14492">
            <w:pPr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</w:rPr>
                  <m:t>2,000∙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10" w:type="dxa"/>
            <w:shd w:val="clear" w:color="auto" w:fill="auto"/>
            <w:noWrap/>
            <w:vAlign w:val="center"/>
          </w:tcPr>
          <w:p w:rsidR="00B14492" w:rsidRPr="00533E13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</w:rPr>
                  <m:t>8,938∙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j∙57,525°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:rsidR="00B14492" w:rsidRPr="00720BA3" w:rsidRDefault="00B14492" w:rsidP="00B14492">
            <w:pPr>
              <w:jc w:val="right"/>
              <w:rPr>
                <w:b/>
                <w:color w:val="000000"/>
                <w:sz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6,000∙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90" w:type="dxa"/>
            <w:tcBorders>
              <w:tr2bl w:val="nil"/>
            </w:tcBorders>
            <w:vAlign w:val="center"/>
          </w:tcPr>
          <w:p w:rsidR="00B14492" w:rsidRPr="0075056E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2,880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691" w:type="dxa"/>
            <w:tcBorders>
              <w:bottom w:val="single" w:sz="2" w:space="0" w:color="auto"/>
            </w:tcBorders>
            <w:vAlign w:val="center"/>
          </w:tcPr>
          <w:p w:rsidR="00B14492" w:rsidRPr="00B854C3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4,524∙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691" w:type="dxa"/>
            <w:vAlign w:val="center"/>
          </w:tcPr>
          <w:p w:rsidR="00B14492" w:rsidRPr="00B854C3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5,363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B14492" w:rsidRPr="00F51BB3" w:rsidTr="0075056E">
        <w:trPr>
          <w:trHeight w:val="585"/>
        </w:trPr>
        <w:tc>
          <w:tcPr>
            <w:tcW w:w="1056" w:type="dxa"/>
            <w:shd w:val="clear" w:color="auto" w:fill="auto"/>
            <w:noWrap/>
            <w:vAlign w:val="center"/>
          </w:tcPr>
          <w:p w:rsidR="00B14492" w:rsidRPr="00896FCE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2485" w:type="dxa"/>
            <w:shd w:val="clear" w:color="auto" w:fill="auto"/>
            <w:noWrap/>
            <w:vAlign w:val="center"/>
          </w:tcPr>
          <w:p w:rsidR="00B14492" w:rsidRPr="00406E8F" w:rsidRDefault="00B14492" w:rsidP="00B14492">
            <w:pPr>
              <w:jc w:val="right"/>
              <w:rPr>
                <w:b/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8,000∙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j∙0°</m:t>
                    </m:r>
                  </m:sup>
                </m:sSup>
              </m:oMath>
            </m:oMathPara>
          </w:p>
        </w:tc>
        <w:tc>
          <w:tcPr>
            <w:tcW w:w="1884" w:type="dxa"/>
            <w:tcBorders>
              <w:tr2bl w:val="single" w:sz="4" w:space="0" w:color="auto"/>
            </w:tcBorders>
            <w:vAlign w:val="center"/>
          </w:tcPr>
          <w:p w:rsidR="00B14492" w:rsidRPr="006834D9" w:rsidRDefault="00B14492" w:rsidP="00B14492">
            <w:pPr>
              <w:jc w:val="right"/>
              <w:rPr>
                <w:color w:val="000000"/>
                <w:sz w:val="24"/>
              </w:rPr>
            </w:pPr>
          </w:p>
        </w:tc>
        <w:tc>
          <w:tcPr>
            <w:tcW w:w="2510" w:type="dxa"/>
            <w:shd w:val="clear" w:color="auto" w:fill="auto"/>
            <w:noWrap/>
            <w:vAlign w:val="center"/>
          </w:tcPr>
          <w:p w:rsidR="00B14492" w:rsidRPr="00533E13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</w:rPr>
                  <m:t>4,800∙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j∙0°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:rsidR="00B14492" w:rsidRPr="00720BA3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</w:rPr>
                  <m:t>6,000∙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90" w:type="dxa"/>
            <w:tcBorders>
              <w:bottom w:val="single" w:sz="2" w:space="0" w:color="auto"/>
            </w:tcBorders>
            <w:vAlign w:val="center"/>
          </w:tcPr>
          <w:p w:rsidR="00B14492" w:rsidRPr="0075056E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2,880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691" w:type="dxa"/>
            <w:tcBorders>
              <w:tr2bl w:val="single" w:sz="4" w:space="0" w:color="auto"/>
            </w:tcBorders>
            <w:vAlign w:val="center"/>
          </w:tcPr>
          <w:p w:rsidR="00B14492" w:rsidRPr="006834D9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B14492" w:rsidRPr="00B854C3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2,880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B14492" w:rsidRPr="00F51BB3" w:rsidTr="0075056E">
        <w:trPr>
          <w:trHeight w:val="585"/>
        </w:trPr>
        <w:tc>
          <w:tcPr>
            <w:tcW w:w="1056" w:type="dxa"/>
            <w:shd w:val="clear" w:color="auto" w:fill="auto"/>
            <w:noWrap/>
            <w:vAlign w:val="center"/>
          </w:tcPr>
          <w:p w:rsidR="00B14492" w:rsidRPr="00896FCE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</w:p>
        </w:tc>
        <w:tc>
          <w:tcPr>
            <w:tcW w:w="2485" w:type="dxa"/>
            <w:shd w:val="clear" w:color="auto" w:fill="auto"/>
            <w:noWrap/>
            <w:vAlign w:val="center"/>
          </w:tcPr>
          <w:p w:rsidR="00B14492" w:rsidRPr="00406E8F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</w:rPr>
                  <m:t>1,257∙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j∙90°</m:t>
                    </m:r>
                  </m:sup>
                </m:sSup>
              </m:oMath>
            </m:oMathPara>
          </w:p>
        </w:tc>
        <w:tc>
          <w:tcPr>
            <w:tcW w:w="1884" w:type="dxa"/>
            <w:vAlign w:val="center"/>
          </w:tcPr>
          <w:p w:rsidR="00B14492" w:rsidRPr="00406E8F" w:rsidRDefault="00B14492" w:rsidP="00B14492">
            <w:pPr>
              <w:jc w:val="right"/>
              <w:rPr>
                <w:b/>
                <w:color w:val="000000"/>
                <w:sz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2,000∙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10" w:type="dxa"/>
            <w:shd w:val="clear" w:color="auto" w:fill="auto"/>
            <w:noWrap/>
            <w:vAlign w:val="center"/>
          </w:tcPr>
          <w:p w:rsidR="00B14492" w:rsidRPr="00533E13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</w:rPr>
                  <m:t>7,540∙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j∙90°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:rsidR="00B14492" w:rsidRPr="00720BA3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</w:rPr>
                  <m:t>6,000∙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90" w:type="dxa"/>
            <w:tcBorders>
              <w:tr2bl w:val="single" w:sz="4" w:space="0" w:color="auto"/>
            </w:tcBorders>
            <w:vAlign w:val="center"/>
          </w:tcPr>
          <w:p w:rsidR="00B14492" w:rsidRPr="006834D9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B14492" w:rsidRPr="0075056E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4,524∙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691" w:type="dxa"/>
            <w:vAlign w:val="center"/>
          </w:tcPr>
          <w:p w:rsidR="00B14492" w:rsidRPr="00B854C3" w:rsidRDefault="00B14492" w:rsidP="00B14492">
            <w:pPr>
              <w:jc w:val="right"/>
              <w:rPr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4,524∙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</w:tbl>
    <w:p w:rsidR="006834D9" w:rsidRDefault="006834D9" w:rsidP="00E27DFC">
      <w:pPr>
        <w:pStyle w:val="Podnadpis"/>
      </w:pPr>
    </w:p>
    <w:p w:rsidR="00E27DFC" w:rsidRPr="00E27DFC" w:rsidRDefault="00E27DFC" w:rsidP="00E27DFC">
      <w:pPr>
        <w:pStyle w:val="Podnadpis"/>
      </w:pPr>
      <w:r>
        <w:t>Proškrtnuté složky na ideální součástce nevznikají.</w:t>
      </w:r>
    </w:p>
    <w:p w:rsidR="00E27DFC" w:rsidRDefault="00E27DFC" w:rsidP="00E27DFC"/>
    <w:p w:rsidR="00E27DFC" w:rsidRPr="00E27DFC" w:rsidRDefault="00E27DFC" w:rsidP="00E27DFC">
      <w:pPr>
        <w:sectPr w:rsidR="00E27DFC" w:rsidRPr="00E27DFC" w:rsidSect="006834D9">
          <w:pgSz w:w="16838" w:h="11906" w:orient="landscape"/>
          <w:pgMar w:top="1417" w:right="1417" w:bottom="1417" w:left="1417" w:header="708" w:footer="708" w:gutter="0"/>
          <w:cols w:space="708"/>
          <w:docGrid w:linePitch="272"/>
        </w:sectPr>
      </w:pPr>
    </w:p>
    <w:p w:rsidR="00234148" w:rsidRDefault="00594AD6" w:rsidP="00EE0CA7">
      <w:pPr>
        <w:pStyle w:val="Nadpis1"/>
      </w:pPr>
      <w:r>
        <w:lastRenderedPageBreak/>
        <w:t>VÝPOČTY:</w:t>
      </w:r>
    </w:p>
    <w:p w:rsidR="00154EDF" w:rsidRPr="00154EDF" w:rsidRDefault="00D266BC" w:rsidP="004E736F">
      <w:pPr>
        <w:pStyle w:val="Podnadpis"/>
      </w:pPr>
      <w:r>
        <w:t>V první řadě, po zapsání známých hodnot do tabulky, je prvním krokem vypočítat zbývající veličiny na jednotlivých součástkách. Jelikož zapojení je sériové, tak proud je v celém obvodu shodný. Výpočet začneme induktivní reaktancí cívky.</w:t>
      </w:r>
    </w:p>
    <w:p w:rsidR="00154EDF" w:rsidRPr="004E736F" w:rsidRDefault="00506935" w:rsidP="004E736F">
      <w:pPr>
        <w:pStyle w:val="Podnadpis"/>
        <w:rPr>
          <w:b/>
          <w:color w:val="000000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=ωL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=2πfL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=2∙π∙1,00∙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∙2,00∙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=1,257∙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000000"/>
              <w:szCs w:val="24"/>
              <w:lang w:val="en-US"/>
            </w:rPr>
            <m:t xml:space="preserve"> [Ω]</m:t>
          </m:r>
        </m:oMath>
      </m:oMathPara>
    </w:p>
    <w:p w:rsidR="00CA7FF8" w:rsidRDefault="00CA7FF8" w:rsidP="007D08C1">
      <w:pPr>
        <w:pStyle w:val="Podnadpis"/>
        <w:ind w:firstLine="708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bychom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induktivní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reaktanci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chtěli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impedanci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zapíšeme</w:t>
      </w:r>
      <w:proofErr w:type="spellEnd"/>
      <w:r>
        <w:rPr>
          <w:lang w:val="en-US"/>
        </w:rPr>
        <w:t xml:space="preserve"> ji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imaginární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složku</w:t>
      </w:r>
      <w:proofErr w:type="spellEnd"/>
      <w:r>
        <w:rPr>
          <w:lang w:val="en-US"/>
        </w:rPr>
        <w:t xml:space="preserve"> impedance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</m:oMath>
      <w:r w:rsidR="00CE6DDC">
        <w:rPr>
          <w:lang w:val="en-US"/>
        </w:rPr>
        <w:t xml:space="preserve">, která na ose směřuje nahoru (fázor proudu je u </w:t>
      </w:r>
      <w:proofErr w:type="spellStart"/>
      <w:r w:rsidR="00CE6DDC">
        <w:rPr>
          <w:lang w:val="en-US"/>
        </w:rPr>
        <w:t>induktivní</w:t>
      </w:r>
      <w:proofErr w:type="spellEnd"/>
      <w:r w:rsidR="00CE6DDC">
        <w:rPr>
          <w:lang w:val="en-US"/>
        </w:rPr>
        <w:t xml:space="preserve"> </w:t>
      </w:r>
      <w:proofErr w:type="spellStart"/>
      <w:r w:rsidR="00CE6DDC">
        <w:rPr>
          <w:lang w:val="en-US"/>
        </w:rPr>
        <w:t>reaktance</w:t>
      </w:r>
      <w:proofErr w:type="spellEnd"/>
      <w:r w:rsidR="00CE6DDC">
        <w:rPr>
          <w:lang w:val="en-US"/>
        </w:rPr>
        <w:t xml:space="preserve"> </w:t>
      </w:r>
      <w:proofErr w:type="spellStart"/>
      <w:r w:rsidR="00CE6DDC">
        <w:rPr>
          <w:lang w:val="en-US"/>
        </w:rPr>
        <w:t>zpožden</w:t>
      </w:r>
      <w:proofErr w:type="spellEnd"/>
      <w:r w:rsidR="00CE6DDC">
        <w:rPr>
          <w:lang w:val="en-US"/>
        </w:rPr>
        <w:t xml:space="preserve"> o 90°</w:t>
      </w:r>
      <w:r w:rsidR="00E340CD">
        <w:rPr>
          <w:lang w:val="en-US"/>
        </w:rPr>
        <w:t xml:space="preserve"> </w:t>
      </w:r>
      <w:proofErr w:type="spellStart"/>
      <w:r w:rsidR="00E340CD">
        <w:rPr>
          <w:lang w:val="en-US"/>
        </w:rPr>
        <w:t>oproti</w:t>
      </w:r>
      <w:proofErr w:type="spellEnd"/>
      <w:r w:rsidR="00E340CD">
        <w:rPr>
          <w:lang w:val="en-US"/>
        </w:rPr>
        <w:t xml:space="preserve"> </w:t>
      </w:r>
      <w:proofErr w:type="spellStart"/>
      <w:r w:rsidR="00E340CD">
        <w:rPr>
          <w:lang w:val="en-US"/>
        </w:rPr>
        <w:t>napětí</w:t>
      </w:r>
      <w:proofErr w:type="spellEnd"/>
      <w:r w:rsidR="00E340CD">
        <w:rPr>
          <w:lang w:val="en-US"/>
        </w:rPr>
        <w:t xml:space="preserve"> – </w:t>
      </w:r>
      <w:proofErr w:type="spellStart"/>
      <w:r w:rsidR="00E340CD">
        <w:rPr>
          <w:lang w:val="en-US"/>
        </w:rPr>
        <w:t>leží</w:t>
      </w:r>
      <w:proofErr w:type="spellEnd"/>
      <w:r w:rsidR="00E340CD">
        <w:rPr>
          <w:lang w:val="en-US"/>
        </w:rPr>
        <w:t xml:space="preserve"> </w:t>
      </w:r>
      <w:proofErr w:type="spellStart"/>
      <w:r w:rsidR="00E340CD">
        <w:rPr>
          <w:lang w:val="en-US"/>
        </w:rPr>
        <w:t>na</w:t>
      </w:r>
      <w:proofErr w:type="spellEnd"/>
      <w:r w:rsidR="00E340CD">
        <w:rPr>
          <w:lang w:val="en-US"/>
        </w:rPr>
        <w:t xml:space="preserve"> </w:t>
      </w:r>
      <w:proofErr w:type="spellStart"/>
      <w:r w:rsidR="00E340CD">
        <w:rPr>
          <w:lang w:val="en-US"/>
        </w:rPr>
        <w:t>reálné</w:t>
      </w:r>
      <w:proofErr w:type="spellEnd"/>
      <w:r w:rsidR="00E340CD">
        <w:rPr>
          <w:lang w:val="en-US"/>
        </w:rPr>
        <w:t xml:space="preserve"> </w:t>
      </w:r>
      <w:proofErr w:type="spellStart"/>
      <w:r w:rsidR="00E340CD">
        <w:rPr>
          <w:lang w:val="en-US"/>
        </w:rPr>
        <w:t>ose</w:t>
      </w:r>
      <w:proofErr w:type="spellEnd"/>
      <w:r w:rsidR="00CE6DDC">
        <w:rPr>
          <w:lang w:val="en-US"/>
        </w:rPr>
        <w:t xml:space="preserve">; </w:t>
      </w:r>
      <w:proofErr w:type="spellStart"/>
      <w:r w:rsidR="00CE6DDC">
        <w:rPr>
          <w:lang w:val="en-US"/>
        </w:rPr>
        <w:t>fázory</w:t>
      </w:r>
      <w:proofErr w:type="spellEnd"/>
      <w:r w:rsidR="00CE6DDC">
        <w:rPr>
          <w:lang w:val="en-US"/>
        </w:rPr>
        <w:t xml:space="preserve"> se </w:t>
      </w:r>
      <w:proofErr w:type="spellStart"/>
      <w:r w:rsidR="00CE6DDC">
        <w:rPr>
          <w:lang w:val="en-US"/>
        </w:rPr>
        <w:t>otáčí</w:t>
      </w:r>
      <w:proofErr w:type="spellEnd"/>
      <w:r w:rsidR="00CE6DDC">
        <w:rPr>
          <w:lang w:val="en-US"/>
        </w:rPr>
        <w:t xml:space="preserve"> </w:t>
      </w:r>
      <w:proofErr w:type="spellStart"/>
      <w:r w:rsidR="00CE6DDC">
        <w:rPr>
          <w:lang w:val="en-US"/>
        </w:rPr>
        <w:t>po</w:t>
      </w:r>
      <w:proofErr w:type="spellEnd"/>
      <w:r w:rsidR="00CE6DDC">
        <w:rPr>
          <w:lang w:val="en-US"/>
        </w:rPr>
        <w:t xml:space="preserve"> </w:t>
      </w:r>
      <w:proofErr w:type="spellStart"/>
      <w:r w:rsidR="00CE6DDC">
        <w:rPr>
          <w:lang w:val="en-US"/>
        </w:rPr>
        <w:t>směru</w:t>
      </w:r>
      <w:proofErr w:type="spellEnd"/>
      <w:r w:rsidR="00CE6DDC">
        <w:rPr>
          <w:lang w:val="en-US"/>
        </w:rPr>
        <w:t xml:space="preserve"> </w:t>
      </w:r>
      <w:proofErr w:type="spellStart"/>
      <w:r w:rsidR="00CE6DDC">
        <w:rPr>
          <w:lang w:val="en-US"/>
        </w:rPr>
        <w:t>hodinových</w:t>
      </w:r>
      <w:proofErr w:type="spellEnd"/>
      <w:r w:rsidR="00CE6DDC">
        <w:rPr>
          <w:lang w:val="en-US"/>
        </w:rPr>
        <w:t xml:space="preserve"> </w:t>
      </w:r>
      <w:proofErr w:type="spellStart"/>
      <w:r w:rsidR="00CE6DDC">
        <w:rPr>
          <w:lang w:val="en-US"/>
        </w:rPr>
        <w:t>ručiček</w:t>
      </w:r>
      <w:proofErr w:type="spellEnd"/>
      <w:r w:rsidR="00CE6DDC">
        <w:rPr>
          <w:lang w:val="en-US"/>
        </w:rPr>
        <w:t>)</w:t>
      </w:r>
    </w:p>
    <w:p w:rsidR="00154EDF" w:rsidRDefault="00506935" w:rsidP="007D08C1">
      <w:pPr>
        <w:pStyle w:val="Podnadpis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=R+j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j∙φ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=0+j</m:t>
          </m:r>
          <m:r>
            <w:rPr>
              <w:rFonts w:ascii="Cambria Math" w:hAnsi="Cambria Math"/>
            </w:rPr>
            <m:t>∙1,257∙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1,257∙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j∙90°</m:t>
              </m:r>
            </m:sup>
          </m:sSup>
        </m:oMath>
      </m:oMathPara>
    </w:p>
    <w:p w:rsidR="007D08C1" w:rsidRDefault="007D08C1" w:rsidP="004E736F">
      <w:pPr>
        <w:pStyle w:val="Podnadpis"/>
        <w:ind w:firstLine="708"/>
        <w:rPr>
          <w:lang w:val="en-US"/>
        </w:rPr>
      </w:pPr>
      <w:r>
        <w:rPr>
          <w:lang w:val="en-US"/>
        </w:rPr>
        <w:t xml:space="preserve">Impedance </w:t>
      </w:r>
      <w:proofErr w:type="spellStart"/>
      <w:r>
        <w:rPr>
          <w:lang w:val="en-US"/>
        </w:rPr>
        <w:t>rezistoru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naopak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činná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složka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fázi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napětím</w:t>
      </w:r>
      <w:proofErr w:type="spellEnd"/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φ=0°</m:t>
        </m:r>
      </m:oMath>
      <w:r>
        <w:rPr>
          <w:lang w:val="en-US"/>
        </w:rPr>
        <w:t xml:space="preserve">). Po </w:t>
      </w:r>
      <w:proofErr w:type="spellStart"/>
      <w:r>
        <w:rPr>
          <w:lang w:val="en-US"/>
        </w:rPr>
        <w:t>sečtení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těchto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komplexních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získáme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celkovou</w:t>
      </w:r>
      <w:proofErr w:type="spellEnd"/>
      <w:r>
        <w:rPr>
          <w:lang w:val="en-US"/>
        </w:rPr>
        <w:t xml:space="preserve"> impedance </w:t>
      </w:r>
      <w:proofErr w:type="spellStart"/>
      <w:r>
        <w:rPr>
          <w:lang w:val="en-US"/>
        </w:rPr>
        <w:t>obvodu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včetně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celkového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fázového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napětím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proudem</w:t>
      </w:r>
      <w:proofErr w:type="spellEnd"/>
      <w:r>
        <w:rPr>
          <w:lang w:val="en-US"/>
        </w:rPr>
        <w:t>.</w:t>
      </w:r>
    </w:p>
    <w:p w:rsidR="002A69D6" w:rsidRPr="004E736F" w:rsidRDefault="00506935" w:rsidP="004E736F">
      <w:pPr>
        <w:pStyle w:val="Podnadpis"/>
        <w:rPr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1,489∙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j∙57,525°</m:t>
              </m:r>
            </m:sup>
          </m:sSup>
        </m:oMath>
      </m:oMathPara>
    </w:p>
    <w:p w:rsidR="002A69D6" w:rsidRPr="002A69D6" w:rsidRDefault="002A69D6" w:rsidP="004E736F">
      <w:pPr>
        <w:pStyle w:val="Podnadpis"/>
        <w:rPr>
          <w:color w:val="000000"/>
          <w:szCs w:val="24"/>
        </w:rPr>
      </w:pPr>
      <w:r>
        <w:rPr>
          <w:color w:val="000000"/>
          <w:szCs w:val="24"/>
        </w:rPr>
        <w:t xml:space="preserve">Fázový posun jsme získali funkcí </w:t>
      </w:r>
      <w:proofErr w:type="spellStart"/>
      <w:r w:rsidRPr="002A69D6">
        <w:rPr>
          <w:i/>
          <w:color w:val="000000"/>
          <w:szCs w:val="24"/>
        </w:rPr>
        <w:t>arctan</w:t>
      </w:r>
      <w:proofErr w:type="spellEnd"/>
      <w:r>
        <w:rPr>
          <w:color w:val="000000"/>
          <w:szCs w:val="24"/>
        </w:rPr>
        <w:t xml:space="preserve"> na po</w:t>
      </w:r>
      <w:r w:rsidR="004E736F">
        <w:rPr>
          <w:color w:val="000000"/>
          <w:szCs w:val="24"/>
        </w:rPr>
        <w:t>dílu imaginární a reálné složky.</w:t>
      </w:r>
    </w:p>
    <w:p w:rsidR="002A69D6" w:rsidRPr="002A69D6" w:rsidRDefault="002A69D6" w:rsidP="004E736F">
      <w:pPr>
        <w:pStyle w:val="Podnadpis"/>
        <w:rPr>
          <w:color w:val="000000"/>
          <w:szCs w:val="24"/>
        </w:rPr>
      </w:pPr>
      <m:oMathPara>
        <m:oMath>
          <m:r>
            <w:rPr>
              <w:rFonts w:ascii="Cambria Math" w:hAnsi="Cambria Math"/>
              <w:color w:val="000000"/>
              <w:szCs w:val="24"/>
            </w:rPr>
            <m:t>φ=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Cs w:val="24"/>
                    </w:rPr>
                    <m:t>R</m:t>
                  </m:r>
                </m:den>
              </m:f>
            </m:e>
          </m:func>
        </m:oMath>
      </m:oMathPara>
    </w:p>
    <w:p w:rsidR="00C62A15" w:rsidRPr="004E736F" w:rsidRDefault="007D08C1" w:rsidP="004E736F">
      <w:pPr>
        <w:pStyle w:val="Podnadpis"/>
        <w:rPr>
          <w:color w:val="000000"/>
          <w:szCs w:val="24"/>
        </w:rPr>
      </w:pPr>
      <m:oMathPara>
        <m:oMath>
          <m:r>
            <w:rPr>
              <w:rFonts w:ascii="Cambria Math" w:hAnsi="Cambria Math"/>
              <w:color w:val="000000"/>
              <w:szCs w:val="24"/>
            </w:rPr>
            <m:t>φ=</m:t>
          </m:r>
          <m:r>
            <w:rPr>
              <w:rFonts w:ascii="Cambria Math" w:hAnsi="Cambria Math"/>
              <w:szCs w:val="24"/>
              <w:lang w:val="en-US"/>
            </w:rPr>
            <m:t>57,525°</m:t>
          </m:r>
        </m:oMath>
      </m:oMathPara>
    </w:p>
    <w:p w:rsidR="007D08C1" w:rsidRDefault="00C62A15" w:rsidP="004E736F">
      <w:pPr>
        <w:pStyle w:val="Podnadpis"/>
        <w:rPr>
          <w:lang w:val="en-US"/>
        </w:rPr>
      </w:pPr>
      <w:proofErr w:type="spellStart"/>
      <w:r>
        <w:rPr>
          <w:lang w:val="en-US"/>
        </w:rPr>
        <w:t>Napětí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cívce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vypočítame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Ohmova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zákona</w:t>
      </w:r>
      <w:proofErr w:type="spellEnd"/>
      <w:r w:rsidR="004E736F">
        <w:rPr>
          <w:lang w:val="en-US"/>
        </w:rPr>
        <w:t xml:space="preserve"> </w:t>
      </w:r>
      <w:proofErr w:type="spellStart"/>
      <w:r w:rsidR="004E736F">
        <w:rPr>
          <w:lang w:val="en-US"/>
        </w:rPr>
        <w:t>následovně</w:t>
      </w:r>
      <w:proofErr w:type="spellEnd"/>
      <w:r w:rsidR="004E736F">
        <w:rPr>
          <w:lang w:val="en-US"/>
        </w:rPr>
        <w:t>.</w:t>
      </w:r>
    </w:p>
    <w:p w:rsidR="00744067" w:rsidRPr="0031726F" w:rsidRDefault="004E736F" w:rsidP="00744067">
      <w:pPr>
        <w:pStyle w:val="Podnadpis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U=I∙R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=I∙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6,000∙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∙</m:t>
          </m:r>
          <m:r>
            <w:rPr>
              <w:rFonts w:ascii="Cambria Math" w:hAnsi="Cambria Math"/>
            </w:rPr>
            <m:t>1,257∙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=7,540∙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[V]</m:t>
          </m:r>
        </m:oMath>
      </m:oMathPara>
    </w:p>
    <w:p w:rsidR="0031726F" w:rsidRDefault="0031726F">
      <w:pPr>
        <w:rPr>
          <w:sz w:val="24"/>
          <w:lang w:val="en-US"/>
        </w:rPr>
      </w:pPr>
      <w:r>
        <w:rPr>
          <w:lang w:val="en-US"/>
        </w:rPr>
        <w:br w:type="page"/>
      </w:r>
    </w:p>
    <w:p w:rsidR="0037619A" w:rsidRDefault="003C688B" w:rsidP="00073C6F">
      <w:pPr>
        <w:pStyle w:val="Podnadpis"/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C705CA">
            <wp:simplePos x="0" y="0"/>
            <wp:positionH relativeFrom="margin">
              <wp:align>center</wp:align>
            </wp:positionH>
            <wp:positionV relativeFrom="paragraph">
              <wp:posOffset>544195</wp:posOffset>
            </wp:positionV>
            <wp:extent cx="4298315" cy="4377055"/>
            <wp:effectExtent l="0" t="0" r="6985" b="4445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437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19A">
        <w:t xml:space="preserve">Jelikož se ale jedná o napětí na cívce, tak i to je fázově posunuté </w:t>
      </w:r>
      <w:r w:rsidR="001D6E18">
        <w:t>o</w:t>
      </w:r>
      <w:r w:rsidR="0037619A">
        <w:t>proti proudu.</w:t>
      </w:r>
      <w:r w:rsidR="001D6E18">
        <w:t xml:space="preserve"> Pouze napětí na rezistoru je ve fázi s proudem.</w:t>
      </w:r>
    </w:p>
    <w:p w:rsidR="001D6E18" w:rsidRDefault="008770E0" w:rsidP="008770E0">
      <w:pPr>
        <w:pStyle w:val="Podnadpis"/>
      </w:pPr>
      <w:r>
        <w:t>Po součtu v komplexní matematice získáme celkové napětí v obvodu, to lze spočítat následovně.</w:t>
      </w:r>
    </w:p>
    <w:p w:rsidR="008770E0" w:rsidRPr="003C688B" w:rsidRDefault="00506935" w:rsidP="008770E0">
      <w:pPr>
        <w:pStyle w:val="Podnadpis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7,540∙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4,800∙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=8,938∙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 xml:space="preserve"> [V]</m:t>
          </m:r>
        </m:oMath>
      </m:oMathPara>
    </w:p>
    <w:p w:rsidR="008770E0" w:rsidRDefault="008770E0" w:rsidP="008770E0">
      <w:pPr>
        <w:pStyle w:val="Podnadpis"/>
      </w:pPr>
      <w:r>
        <w:t>Jako kontrolu je namísto dílčích napětí možné využít celkovou impedanci obvodu spolu s proudem.</w:t>
      </w:r>
    </w:p>
    <w:p w:rsidR="008770E0" w:rsidRPr="008770E0" w:rsidRDefault="008770E0" w:rsidP="008770E0">
      <w:pPr>
        <w:pStyle w:val="Podnadpis"/>
      </w:pPr>
      <m:oMathPara>
        <m:oMath>
          <m:r>
            <w:rPr>
              <w:rFonts w:ascii="Cambria Math" w:hAnsi="Cambria Math"/>
            </w:rPr>
            <m:t>U=Z∙I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=1,490∙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color w:val="000000"/>
            </w:rPr>
            <m:t>6,000∙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  <m:oMath>
          <m:r>
            <w:rPr>
              <w:rFonts w:ascii="Cambria Math" w:hAnsi="Cambria Math"/>
            </w:rPr>
            <m:t>U=</m:t>
          </m:r>
          <m:r>
            <m:rPr>
              <m:sty m:val="p"/>
            </m:rPr>
            <w:rPr>
              <w:rFonts w:ascii="Cambria Math" w:hAnsi="Cambria Math"/>
            </w:rPr>
            <m:t>8,938∙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3C688B" w:rsidRDefault="003C688B" w:rsidP="003C688B">
      <w:pPr>
        <w:pStyle w:val="Podnadpis"/>
        <w:ind w:firstLine="708"/>
      </w:pPr>
      <w:r>
        <w:t xml:space="preserve">Hodnoty vycházejí shodně, kontrola vyšla. Posledním krokem je vypočítat celkový výkon a dílčí výkony. Výkon </w:t>
      </w:r>
      <w:r w:rsidRPr="003C688B">
        <w:rPr>
          <w:b/>
        </w:rPr>
        <w:t>činný</w:t>
      </w:r>
      <w:r>
        <w:t xml:space="preserve"> (vznikající na rezistoru) a </w:t>
      </w:r>
      <w:r w:rsidRPr="003C688B">
        <w:rPr>
          <w:b/>
        </w:rPr>
        <w:t>jalový</w:t>
      </w:r>
      <w:r>
        <w:t xml:space="preserve"> (vznikající na cívce a kondenzátoru) jsou jednotlivé složky </w:t>
      </w:r>
      <w:r w:rsidRPr="003C688B">
        <w:rPr>
          <w:b/>
        </w:rPr>
        <w:t>zdánlivého</w:t>
      </w:r>
      <w:r>
        <w:t xml:space="preserve"> výkonu, který je též komplexním</w:t>
      </w:r>
      <w:r w:rsidR="00C16515">
        <w:t xml:space="preserve"> číslem</w:t>
      </w:r>
      <w:r>
        <w:t>.</w:t>
      </w:r>
      <w:r>
        <w:br w:type="page"/>
      </w:r>
    </w:p>
    <w:p w:rsidR="003C688B" w:rsidRDefault="003C688B" w:rsidP="003C688B">
      <w:pPr>
        <w:pStyle w:val="Podnadpis"/>
      </w:pPr>
      <w:r>
        <w:lastRenderedPageBreak/>
        <w:t xml:space="preserve">Pro ukázku vypočítáme v první řadě činný výkon </w:t>
      </w:r>
      <m:oMath>
        <m:r>
          <w:rPr>
            <w:rFonts w:ascii="Cambria Math" w:hAnsi="Cambria Math"/>
          </w:rPr>
          <m:t xml:space="preserve">P </m:t>
        </m:r>
        <m:r>
          <w:rPr>
            <w:rFonts w:ascii="Cambria Math" w:hAnsi="Cambria Math"/>
            <w:lang w:val="en-US"/>
          </w:rPr>
          <m:t>[W]</m:t>
        </m:r>
      </m:oMath>
      <w:r>
        <w:t xml:space="preserve"> vznikající na rezistoru.</w:t>
      </w:r>
      <w:r w:rsidR="00AA7E05">
        <w:t xml:space="preserve"> Ten bude mít stejně jako jeho napětí fázový posun nulový.</w:t>
      </w:r>
    </w:p>
    <w:p w:rsidR="00AA7E05" w:rsidRPr="00987569" w:rsidRDefault="00506935" w:rsidP="00987569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=4,800∙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∙6,000∙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=2,880∙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[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A7E05" w:rsidRPr="00AA7E05" w:rsidRDefault="00AA7E05" w:rsidP="00AA7E05">
      <w:pPr>
        <w:pStyle w:val="Podnadpis"/>
        <w:ind w:firstLine="708"/>
        <w:rPr>
          <w:i/>
        </w:rPr>
      </w:pPr>
      <w:r>
        <w:t xml:space="preserve">Na rezistoru, jak již bylo zmíněno, jalový složka nevzniká. Ta naopak vzniká na cívce a její výkon nazýváme jalový </w:t>
      </w:r>
      <m:oMath>
        <m:r>
          <w:rPr>
            <w:rFonts w:ascii="Cambria Math" w:hAnsi="Cambria Math"/>
          </w:rPr>
          <m:t xml:space="preserve">Q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VA</m:t>
            </m:r>
          </m:e>
        </m:d>
        <m:r>
          <w:rPr>
            <w:rFonts w:ascii="Cambria Math" w:hAnsi="Cambria Math"/>
            <w:lang w:val="en-US"/>
          </w:rPr>
          <m:t>.</m:t>
        </m:r>
      </m:oMath>
      <w:r>
        <w:rPr>
          <w:lang w:val="en-US"/>
        </w:rPr>
        <w:t xml:space="preserve"> </w:t>
      </w:r>
      <w:r>
        <w:t xml:space="preserve">Jelikož se </w:t>
      </w:r>
      <w:r w:rsidR="00E31F13">
        <w:t xml:space="preserve">stále </w:t>
      </w:r>
      <w:r>
        <w:t>pohybujeme</w:t>
      </w:r>
      <w:r w:rsidR="00E31F13">
        <w:t xml:space="preserve"> jen</w:t>
      </w:r>
      <w:r>
        <w:t xml:space="preserve"> na imaginární ose, která je u cívky vždy proti reálné posunutá o </w:t>
      </w:r>
      <m:oMath>
        <m:r>
          <w:rPr>
            <w:rFonts w:ascii="Cambria Math" w:hAnsi="Cambria Math"/>
          </w:rPr>
          <m:t>φ=90°</m:t>
        </m:r>
      </m:oMath>
      <w:r>
        <w:t xml:space="preserve">, tak funkce </w:t>
      </w:r>
      <w:r w:rsidRPr="00AA7E05">
        <w:rPr>
          <w:i/>
        </w:rPr>
        <w:t>sinus</w:t>
      </w:r>
      <w:r>
        <w:t xml:space="preserve"> bude 1.</w:t>
      </w:r>
    </w:p>
    <w:p w:rsidR="00AA7E05" w:rsidRPr="00987569" w:rsidRDefault="00506935" w:rsidP="00987569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=7,540∙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∙6,000∙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=4,524∙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[</m:t>
          </m:r>
          <m:r>
            <w:rPr>
              <w:rFonts w:ascii="Cambria Math" w:hAnsi="Cambria Math"/>
            </w:rPr>
            <m:t>VA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A7E05" w:rsidRDefault="00AA7E05" w:rsidP="00AA7E05">
      <w:pPr>
        <w:pStyle w:val="Podnadpis"/>
      </w:pPr>
      <w:r>
        <w:t xml:space="preserve">Tyto dvě složky zdánlivého výkonu </w:t>
      </w:r>
      <m:oMath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/>
            <w:lang w:val="en-US"/>
          </w:rPr>
          <m:t>[VAR]</m:t>
        </m:r>
      </m:oMath>
      <w:r>
        <w:t xml:space="preserve"> stačí v komplexní matematice sečíst.</w:t>
      </w:r>
    </w:p>
    <w:p w:rsidR="00AA7E05" w:rsidRPr="00987569" w:rsidRDefault="00506935" w:rsidP="00987569">
      <w:pPr>
        <w:pStyle w:val="Podnadpis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2,880∙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4,524∙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=5,363∙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=5,363∙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∙57,525°</m:t>
              </m:r>
            </m:sup>
          </m:sSup>
        </m:oMath>
      </m:oMathPara>
    </w:p>
    <w:p w:rsidR="00234148" w:rsidRDefault="00F76D50" w:rsidP="00234148">
      <w:pPr>
        <w:pStyle w:val="Nadpis1"/>
      </w:pPr>
      <w:r w:rsidRPr="00F76D50">
        <w:t>SPOLUPRACOVALI</w:t>
      </w:r>
      <w:r>
        <w:t>:</w:t>
      </w:r>
    </w:p>
    <w:p w:rsidR="00F76D50" w:rsidRPr="00F76D50" w:rsidRDefault="00F561B7" w:rsidP="00234148">
      <w:pPr>
        <w:pStyle w:val="Podnadpis"/>
      </w:pPr>
      <w:r>
        <w:t>Úloha byla vypracována samostatně.</w:t>
      </w:r>
    </w:p>
    <w:p w:rsidR="00234148" w:rsidRDefault="00594AD6" w:rsidP="00234148">
      <w:pPr>
        <w:pStyle w:val="Nadpis1"/>
      </w:pPr>
      <w:r>
        <w:t>ZÁVĚR:</w:t>
      </w:r>
    </w:p>
    <w:p w:rsidR="001759A5" w:rsidRPr="001759A5" w:rsidRDefault="00AF333D" w:rsidP="001759A5">
      <w:pPr>
        <w:pStyle w:val="Podnadpis"/>
      </w:pPr>
      <w:r>
        <w:t>Všechny úkoly se zadání byly splněny. Tato úloha byla doposud ze všech nejvíce vyčerpávající, jelikož jsem se problematiku snažil podrobně pochopit a co nejstručněji a jednoduše shrnout. Nad míru učiva jsem se seznámil s podrobnějším principem cívky a kondenzátoru a proč tyto dvě součástky určitým způsobem kladou zdánlivý odpor. Naučil jsem se lépe pracovat s fázovým posunem a díky komplexním číslům si jej dobře představit. Komplexní čísla jsou pro mě sice náročnější na zápis, ale daleko lépe popíší danou veličinu.</w:t>
      </w:r>
      <w:r w:rsidR="00FA7F18">
        <w:t xml:space="preserve"> Oproti předchozím </w:t>
      </w:r>
      <w:r w:rsidR="007C601E">
        <w:t>pracím</w:t>
      </w:r>
      <w:r w:rsidR="00FA7F18">
        <w:t xml:space="preserve"> jsem začal využívat exponenciální tvar</w:t>
      </w:r>
      <w:r w:rsidR="007C601E">
        <w:t xml:space="preserve"> čísla, díky kterému lze na vypočítávaných hodnotách vždy dosáhnout alespoň 3 platných číslic.</w:t>
      </w:r>
    </w:p>
    <w:sectPr w:rsidR="001759A5" w:rsidRPr="001759A5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935" w:rsidRDefault="00506935">
      <w:r>
        <w:separator/>
      </w:r>
    </w:p>
  </w:endnote>
  <w:endnote w:type="continuationSeparator" w:id="0">
    <w:p w:rsidR="00506935" w:rsidRDefault="0050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69" w:rsidRDefault="00987569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987569" w:rsidRDefault="0098756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69" w:rsidRDefault="00987569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 w:rsidR="002B7BC2">
      <w:rPr>
        <w:rStyle w:val="slostrnky"/>
        <w:b/>
        <w:noProof/>
        <w:sz w:val="24"/>
      </w:rPr>
      <w:t>3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987569" w:rsidRDefault="00987569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935" w:rsidRDefault="00506935">
      <w:r>
        <w:separator/>
      </w:r>
    </w:p>
  </w:footnote>
  <w:footnote w:type="continuationSeparator" w:id="0">
    <w:p w:rsidR="00506935" w:rsidRDefault="0050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FFC"/>
    <w:multiLevelType w:val="hybridMultilevel"/>
    <w:tmpl w:val="D74E458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F2456"/>
    <w:multiLevelType w:val="hybridMultilevel"/>
    <w:tmpl w:val="55F02C78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0D2B"/>
    <w:multiLevelType w:val="hybridMultilevel"/>
    <w:tmpl w:val="72BAE30C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6416F"/>
    <w:multiLevelType w:val="hybridMultilevel"/>
    <w:tmpl w:val="276EF402"/>
    <w:lvl w:ilvl="0" w:tplc="0405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6E0B0A"/>
    <w:multiLevelType w:val="hybridMultilevel"/>
    <w:tmpl w:val="66426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93166"/>
    <w:multiLevelType w:val="hybridMultilevel"/>
    <w:tmpl w:val="26749636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F2942"/>
    <w:multiLevelType w:val="hybridMultilevel"/>
    <w:tmpl w:val="655A8A62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95CB1"/>
    <w:multiLevelType w:val="hybridMultilevel"/>
    <w:tmpl w:val="93324C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72A2B"/>
    <w:multiLevelType w:val="hybridMultilevel"/>
    <w:tmpl w:val="D45A20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56E98"/>
    <w:multiLevelType w:val="hybridMultilevel"/>
    <w:tmpl w:val="54B07EEE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42CB"/>
    <w:multiLevelType w:val="hybridMultilevel"/>
    <w:tmpl w:val="5880C112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cs-CZ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50"/>
    <w:rsid w:val="00027E50"/>
    <w:rsid w:val="000306FE"/>
    <w:rsid w:val="00034C72"/>
    <w:rsid w:val="0004018B"/>
    <w:rsid w:val="000635C1"/>
    <w:rsid w:val="00073C6F"/>
    <w:rsid w:val="00075717"/>
    <w:rsid w:val="00086411"/>
    <w:rsid w:val="00095451"/>
    <w:rsid w:val="000B5A32"/>
    <w:rsid w:val="000C2125"/>
    <w:rsid w:val="000C36B0"/>
    <w:rsid w:val="000C5DC6"/>
    <w:rsid w:val="000D0BBD"/>
    <w:rsid w:val="0010623C"/>
    <w:rsid w:val="001100A7"/>
    <w:rsid w:val="00125179"/>
    <w:rsid w:val="00154EDF"/>
    <w:rsid w:val="0016103E"/>
    <w:rsid w:val="001759A5"/>
    <w:rsid w:val="00175FAB"/>
    <w:rsid w:val="00181649"/>
    <w:rsid w:val="001840ED"/>
    <w:rsid w:val="001A7B50"/>
    <w:rsid w:val="001D6E18"/>
    <w:rsid w:val="001E1EC9"/>
    <w:rsid w:val="00234148"/>
    <w:rsid w:val="0023643A"/>
    <w:rsid w:val="00250166"/>
    <w:rsid w:val="0025266E"/>
    <w:rsid w:val="00267072"/>
    <w:rsid w:val="00267967"/>
    <w:rsid w:val="002816CE"/>
    <w:rsid w:val="002A1393"/>
    <w:rsid w:val="002A69D6"/>
    <w:rsid w:val="002B7BC2"/>
    <w:rsid w:val="002C21CB"/>
    <w:rsid w:val="002C45BC"/>
    <w:rsid w:val="002F3CC6"/>
    <w:rsid w:val="0031726F"/>
    <w:rsid w:val="0032379A"/>
    <w:rsid w:val="00350864"/>
    <w:rsid w:val="00365282"/>
    <w:rsid w:val="003732C6"/>
    <w:rsid w:val="0037619A"/>
    <w:rsid w:val="00381EA1"/>
    <w:rsid w:val="003A1E07"/>
    <w:rsid w:val="003B6708"/>
    <w:rsid w:val="003C688B"/>
    <w:rsid w:val="003F73B0"/>
    <w:rsid w:val="00401ACE"/>
    <w:rsid w:val="00406E8F"/>
    <w:rsid w:val="00414D17"/>
    <w:rsid w:val="00450127"/>
    <w:rsid w:val="004544AC"/>
    <w:rsid w:val="00456602"/>
    <w:rsid w:val="00456AE0"/>
    <w:rsid w:val="00465084"/>
    <w:rsid w:val="00483BA1"/>
    <w:rsid w:val="004B014F"/>
    <w:rsid w:val="004C03CC"/>
    <w:rsid w:val="004D19AA"/>
    <w:rsid w:val="004E736F"/>
    <w:rsid w:val="004F4BAD"/>
    <w:rsid w:val="00506935"/>
    <w:rsid w:val="00533E13"/>
    <w:rsid w:val="00543F4E"/>
    <w:rsid w:val="005740F3"/>
    <w:rsid w:val="00576FBF"/>
    <w:rsid w:val="005905AE"/>
    <w:rsid w:val="00594AD6"/>
    <w:rsid w:val="005A6AC3"/>
    <w:rsid w:val="005B0AF3"/>
    <w:rsid w:val="005F3079"/>
    <w:rsid w:val="00611089"/>
    <w:rsid w:val="0061647F"/>
    <w:rsid w:val="00642096"/>
    <w:rsid w:val="006459E2"/>
    <w:rsid w:val="00656243"/>
    <w:rsid w:val="00672BF9"/>
    <w:rsid w:val="006834D9"/>
    <w:rsid w:val="00685041"/>
    <w:rsid w:val="00692A2F"/>
    <w:rsid w:val="0069601D"/>
    <w:rsid w:val="006A1BF5"/>
    <w:rsid w:val="006B70B2"/>
    <w:rsid w:val="006B773A"/>
    <w:rsid w:val="00720BA3"/>
    <w:rsid w:val="00744067"/>
    <w:rsid w:val="0075056E"/>
    <w:rsid w:val="00755B9F"/>
    <w:rsid w:val="007705E4"/>
    <w:rsid w:val="00775DF2"/>
    <w:rsid w:val="00776FB0"/>
    <w:rsid w:val="007C601E"/>
    <w:rsid w:val="007D08C1"/>
    <w:rsid w:val="008028FC"/>
    <w:rsid w:val="008042D3"/>
    <w:rsid w:val="00827A43"/>
    <w:rsid w:val="00856D65"/>
    <w:rsid w:val="008770E0"/>
    <w:rsid w:val="00896FCE"/>
    <w:rsid w:val="008B53D9"/>
    <w:rsid w:val="008C07A1"/>
    <w:rsid w:val="00904E24"/>
    <w:rsid w:val="009344F3"/>
    <w:rsid w:val="00962418"/>
    <w:rsid w:val="00982F3C"/>
    <w:rsid w:val="00987569"/>
    <w:rsid w:val="00992E66"/>
    <w:rsid w:val="009B161C"/>
    <w:rsid w:val="009B6705"/>
    <w:rsid w:val="009B7C0A"/>
    <w:rsid w:val="009D0972"/>
    <w:rsid w:val="009E2FAC"/>
    <w:rsid w:val="009F2FA5"/>
    <w:rsid w:val="00A11CE9"/>
    <w:rsid w:val="00A3709C"/>
    <w:rsid w:val="00A37FA7"/>
    <w:rsid w:val="00A45A9C"/>
    <w:rsid w:val="00A5341E"/>
    <w:rsid w:val="00A954E8"/>
    <w:rsid w:val="00AA7E05"/>
    <w:rsid w:val="00AD5D35"/>
    <w:rsid w:val="00AF1632"/>
    <w:rsid w:val="00AF333D"/>
    <w:rsid w:val="00B14492"/>
    <w:rsid w:val="00B41520"/>
    <w:rsid w:val="00B64533"/>
    <w:rsid w:val="00B7072B"/>
    <w:rsid w:val="00B827FB"/>
    <w:rsid w:val="00B854C3"/>
    <w:rsid w:val="00BA1043"/>
    <w:rsid w:val="00BB5FE3"/>
    <w:rsid w:val="00BD56E0"/>
    <w:rsid w:val="00BE41F3"/>
    <w:rsid w:val="00C16515"/>
    <w:rsid w:val="00C16FAD"/>
    <w:rsid w:val="00C34107"/>
    <w:rsid w:val="00C433D0"/>
    <w:rsid w:val="00C47DEC"/>
    <w:rsid w:val="00C543E0"/>
    <w:rsid w:val="00C62A15"/>
    <w:rsid w:val="00C713D8"/>
    <w:rsid w:val="00C730A7"/>
    <w:rsid w:val="00CA31E3"/>
    <w:rsid w:val="00CA7FF8"/>
    <w:rsid w:val="00CC3DEB"/>
    <w:rsid w:val="00CE5D6B"/>
    <w:rsid w:val="00CE6DDC"/>
    <w:rsid w:val="00D11787"/>
    <w:rsid w:val="00D266BC"/>
    <w:rsid w:val="00D40196"/>
    <w:rsid w:val="00D44EA2"/>
    <w:rsid w:val="00D46F4D"/>
    <w:rsid w:val="00D53AE8"/>
    <w:rsid w:val="00D63350"/>
    <w:rsid w:val="00D67DC6"/>
    <w:rsid w:val="00D774D3"/>
    <w:rsid w:val="00DA371F"/>
    <w:rsid w:val="00DA38A0"/>
    <w:rsid w:val="00E157F4"/>
    <w:rsid w:val="00E27DFC"/>
    <w:rsid w:val="00E31F13"/>
    <w:rsid w:val="00E32E1E"/>
    <w:rsid w:val="00E340CD"/>
    <w:rsid w:val="00E8586D"/>
    <w:rsid w:val="00E9713C"/>
    <w:rsid w:val="00EB627B"/>
    <w:rsid w:val="00EC53C3"/>
    <w:rsid w:val="00ED13C3"/>
    <w:rsid w:val="00EE0CA7"/>
    <w:rsid w:val="00F019D2"/>
    <w:rsid w:val="00F13EDD"/>
    <w:rsid w:val="00F455F5"/>
    <w:rsid w:val="00F51BB3"/>
    <w:rsid w:val="00F524C5"/>
    <w:rsid w:val="00F53539"/>
    <w:rsid w:val="00F561B7"/>
    <w:rsid w:val="00F62D9A"/>
    <w:rsid w:val="00F76D50"/>
    <w:rsid w:val="00FA50BC"/>
    <w:rsid w:val="00FA7F18"/>
    <w:rsid w:val="00FC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3EC3CD"/>
  <w15:chartTrackingRefBased/>
  <w15:docId w15:val="{E84EC3F5-1F53-4605-9B12-40A5820E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1912609E-FA58-4DF7-917E-2807E5DF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19878</TotalTime>
  <Pages>7</Pages>
  <Words>1328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cp:lastModifiedBy>2.D Meinlschmidt Jakub</cp:lastModifiedBy>
  <cp:revision>107</cp:revision>
  <cp:lastPrinted>2017-10-31T20:39:00Z</cp:lastPrinted>
  <dcterms:created xsi:type="dcterms:W3CDTF">2017-09-18T08:19:00Z</dcterms:created>
  <dcterms:modified xsi:type="dcterms:W3CDTF">2017-10-31T20:39:00Z</dcterms:modified>
</cp:coreProperties>
</file>