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line="264" w:lineRule="auto"/>
      </w:pPr>
      <w:r>
        <w:rPr>
          <w:rFonts w:ascii="Calibri" w:hAnsi="Calibri"/>
          <w:b/>
          <w:i w:val="0"/>
          <w:color w:val="123C69"/>
          <w:sz w:val="40"/>
        </w:rPr>
        <w:t>CONSOLIDADO DE INFORMACIÓN CHATGPT</w:t>
      </w:r>
    </w:p>
    <w:p>
      <w:pPr>
        <w:spacing w:before="0" w:after="240" w:line="264" w:lineRule="auto"/>
      </w:pPr>
      <w:r>
        <w:rPr>
          <w:rFonts w:ascii="Calibri" w:hAnsi="Calibri"/>
          <w:b w:val="0"/>
          <w:i w:val="0"/>
          <w:color w:val="5F6B73"/>
          <w:sz w:val="30"/>
        </w:rPr>
        <w:t>Módulo 2 - Matrices de Riesgos</w:t>
      </w:r>
    </w:p>
    <w:p>
      <w:pPr>
        <w:spacing w:before="0" w:after="120" w:line="264" w:lineRule="auto"/>
      </w:pPr>
      <w:r>
        <w:rPr>
          <w:rFonts w:ascii="Calibri" w:hAnsi="Calibri"/>
          <w:b w:val="0"/>
          <w:i w:val="0"/>
          <w:color w:val="263238"/>
          <w:sz w:val="22"/>
        </w:rPr>
        <w:t>Este documento rescata y consolida la información útil sobre el Módulo 2 que estaba en la carpeta Documentación chatGPT, para que esa carpeta pueda eliminarse sin perder insumos relevantes.</w:t>
      </w:r>
    </w:p>
    <w:tbl>
      <w:tblPr>
        <w:tblStyle w:val="TableGrid"/>
        <w:tblW w:type="auto" w:w="0"/>
        <w:jc w:val="center"/>
        <w:tblLook w:firstColumn="1" w:firstRow="1" w:lastColumn="0" w:lastRow="0" w:noHBand="0" w:noVBand="1" w:val="04A0"/>
        <w:tblCellMar>
          <w:top w:w="90" w:type="dxa"/>
          <w:start w:w="130" w:type="dxa"/>
          <w:bottom w:w="90" w:type="dxa"/>
          <w:end w:w="130" w:type="dxa"/>
        </w:tblCellMar>
      </w:tblPr>
      <w:tblGrid>
        <w:gridCol w:w="4997"/>
        <w:gridCol w:w="4997"/>
      </w:tblGrid>
      <w:tr>
        <w:tc>
          <w:tcPr>
            <w:tcW w:type="dxa" w:w="4997"/>
            <w:vAlign w:val="center"/>
            <w:shd w:fill="123C69"/>
          </w:tcPr>
          <w:p>
            <w:pPr>
              <w:spacing w:after="0"/>
            </w:pPr>
            <w:r/>
            <w:r>
              <w:rPr>
                <w:rFonts w:ascii="Calibri" w:hAnsi="Calibri"/>
                <w:b/>
                <w:i w:val="0"/>
                <w:color w:val="FFFFFF"/>
                <w:sz w:val="17"/>
              </w:rPr>
              <w:t>Campo</w:t>
            </w:r>
          </w:p>
        </w:tc>
        <w:tc>
          <w:tcPr>
            <w:tcW w:type="dxa" w:w="4997"/>
            <w:vAlign w:val="center"/>
            <w:shd w:fill="123C69"/>
          </w:tcPr>
          <w:p>
            <w:pPr>
              <w:spacing w:after="0"/>
            </w:pPr>
            <w:r/>
            <w:r>
              <w:rPr>
                <w:rFonts w:ascii="Calibri" w:hAnsi="Calibri"/>
                <w:b/>
                <w:i w:val="0"/>
                <w:color w:val="FFFFFF"/>
                <w:sz w:val="17"/>
              </w:rPr>
              <w:t>Detalle</w:t>
            </w:r>
          </w:p>
        </w:tc>
      </w:tr>
      <w:tr>
        <w:tc>
          <w:tcPr>
            <w:tcW w:type="dxa" w:w="4997"/>
            <w:vAlign w:val="center"/>
          </w:tcPr>
          <w:p>
            <w:pPr>
              <w:spacing w:after="0"/>
            </w:pPr>
            <w:r/>
            <w:r>
              <w:rPr>
                <w:rFonts w:ascii="Calibri" w:hAnsi="Calibri"/>
                <w:b/>
                <w:i w:val="0"/>
                <w:color w:val="263238"/>
                <w:sz w:val="16"/>
              </w:rPr>
              <w:t>Propósito</w:t>
            </w:r>
          </w:p>
        </w:tc>
        <w:tc>
          <w:tcPr>
            <w:tcW w:type="dxa" w:w="4997"/>
            <w:vAlign w:val="center"/>
          </w:tcPr>
          <w:p>
            <w:pPr>
              <w:spacing w:after="0"/>
            </w:pPr>
            <w:r/>
            <w:r>
              <w:rPr>
                <w:rFonts w:ascii="Calibri" w:hAnsi="Calibri"/>
                <w:b w:val="0"/>
                <w:i w:val="0"/>
                <w:color w:val="263238"/>
                <w:sz w:val="16"/>
              </w:rPr>
              <w:t>Servir como insumo limpio para iniciar el análisis formal del Módulo 2 - Matrices de Riesgos.</w:t>
            </w:r>
          </w:p>
        </w:tc>
      </w:tr>
      <w:tr>
        <w:tc>
          <w:tcPr>
            <w:tcW w:type="dxa" w:w="4997"/>
            <w:vAlign w:val="center"/>
          </w:tcPr>
          <w:p>
            <w:pPr>
              <w:spacing w:after="0"/>
            </w:pPr>
            <w:r/>
            <w:r>
              <w:rPr>
                <w:rFonts w:ascii="Calibri" w:hAnsi="Calibri"/>
                <w:b/>
                <w:i w:val="0"/>
                <w:color w:val="263238"/>
                <w:sz w:val="16"/>
              </w:rPr>
              <w:t>Origen</w:t>
            </w:r>
          </w:p>
        </w:tc>
        <w:tc>
          <w:tcPr>
            <w:tcW w:type="dxa" w:w="4997"/>
            <w:vAlign w:val="center"/>
          </w:tcPr>
          <w:p>
            <w:pPr>
              <w:spacing w:after="0"/>
            </w:pPr>
            <w:r/>
            <w:r>
              <w:rPr>
                <w:rFonts w:ascii="Calibri" w:hAnsi="Calibri"/>
                <w:b w:val="0"/>
                <w:i w:val="0"/>
                <w:color w:val="263238"/>
                <w:sz w:val="16"/>
              </w:rPr>
              <w:t>Documentos de análisis generados por ChatGPT y documentos existentes de la carpeta 2. Módulo Matrices de Riesgos.</w:t>
            </w:r>
          </w:p>
        </w:tc>
      </w:tr>
      <w:tr>
        <w:tc>
          <w:tcPr>
            <w:tcW w:type="dxa" w:w="4997"/>
            <w:vAlign w:val="center"/>
          </w:tcPr>
          <w:p>
            <w:pPr>
              <w:spacing w:after="0"/>
            </w:pPr>
            <w:r/>
            <w:r>
              <w:rPr>
                <w:rFonts w:ascii="Calibri" w:hAnsi="Calibri"/>
                <w:b/>
                <w:i w:val="0"/>
                <w:color w:val="263238"/>
                <w:sz w:val="16"/>
              </w:rPr>
              <w:t>Estado del módulo</w:t>
            </w:r>
          </w:p>
        </w:tc>
        <w:tc>
          <w:tcPr>
            <w:tcW w:type="dxa" w:w="4997"/>
            <w:vAlign w:val="center"/>
          </w:tcPr>
          <w:p>
            <w:pPr>
              <w:spacing w:after="0"/>
            </w:pPr>
            <w:r/>
            <w:r>
              <w:rPr>
                <w:rFonts w:ascii="Calibri" w:hAnsi="Calibri"/>
                <w:b w:val="0"/>
                <w:i w:val="0"/>
                <w:color w:val="263238"/>
                <w:sz w:val="16"/>
              </w:rPr>
              <w:t>No implementado en código al momento del análisis; se mantiene como fase nueva a diseñar.</w:t>
            </w:r>
          </w:p>
        </w:tc>
      </w:tr>
      <w:tr>
        <w:tc>
          <w:tcPr>
            <w:tcW w:type="dxa" w:w="4997"/>
            <w:vAlign w:val="center"/>
          </w:tcPr>
          <w:p>
            <w:pPr>
              <w:spacing w:after="0"/>
            </w:pPr>
            <w:r/>
            <w:r>
              <w:rPr>
                <w:rFonts w:ascii="Calibri" w:hAnsi="Calibri"/>
                <w:b/>
                <w:i w:val="0"/>
                <w:color w:val="263238"/>
                <w:sz w:val="16"/>
              </w:rPr>
              <w:t>Uso recomendado</w:t>
            </w:r>
          </w:p>
        </w:tc>
        <w:tc>
          <w:tcPr>
            <w:tcW w:type="dxa" w:w="4997"/>
            <w:vAlign w:val="center"/>
          </w:tcPr>
          <w:p>
            <w:pPr>
              <w:spacing w:after="0"/>
            </w:pPr>
            <w:r/>
            <w:r>
              <w:rPr>
                <w:rFonts w:ascii="Calibri" w:hAnsi="Calibri"/>
                <w:b w:val="0"/>
                <w:i w:val="0"/>
                <w:color w:val="263238"/>
                <w:sz w:val="16"/>
              </w:rPr>
              <w:t>Leer antes de definir metodología, modelo de datos, pantallas, reglas de cálculo y backlog técnico.</w:t>
            </w:r>
          </w:p>
        </w:tc>
      </w:tr>
    </w:tbl>
    <w:p>
      <w:pPr>
        <w:spacing w:before="320" w:after="160"/>
      </w:pPr>
      <w:r>
        <w:rPr>
          <w:rFonts w:ascii="Calibri" w:hAnsi="Calibri"/>
          <w:b/>
          <w:i w:val="0"/>
          <w:color w:val="1E6AA8"/>
          <w:sz w:val="32"/>
        </w:rPr>
        <w:t>1. Fuentes consolidadas</w:t>
      </w:r>
    </w:p>
    <w:tbl>
      <w:tblPr>
        <w:tblStyle w:val="TableGrid"/>
        <w:tblW w:type="auto" w:w="0"/>
        <w:jc w:val="center"/>
        <w:tblLook w:firstColumn="1" w:firstRow="1" w:lastColumn="0" w:lastRow="0" w:noHBand="0" w:noVBand="1" w:val="04A0"/>
        <w:tblCellMar>
          <w:top w:w="90" w:type="dxa"/>
          <w:start w:w="130" w:type="dxa"/>
          <w:bottom w:w="90" w:type="dxa"/>
          <w:end w:w="130" w:type="dxa"/>
        </w:tblCellMar>
      </w:tblPr>
      <w:tblGrid>
        <w:gridCol w:w="4997"/>
        <w:gridCol w:w="4997"/>
      </w:tblGrid>
      <w:tr>
        <w:tc>
          <w:tcPr>
            <w:tcW w:type="dxa" w:w="4997"/>
            <w:vAlign w:val="center"/>
            <w:shd w:fill="123C69"/>
          </w:tcPr>
          <w:p>
            <w:pPr>
              <w:spacing w:after="0"/>
            </w:pPr>
            <w:r/>
            <w:r>
              <w:rPr>
                <w:rFonts w:ascii="Calibri" w:hAnsi="Calibri"/>
                <w:b/>
                <w:i w:val="0"/>
                <w:color w:val="FFFFFF"/>
                <w:sz w:val="17"/>
              </w:rPr>
              <w:t>Fuente</w:t>
            </w:r>
          </w:p>
        </w:tc>
        <w:tc>
          <w:tcPr>
            <w:tcW w:type="dxa" w:w="4997"/>
            <w:vAlign w:val="center"/>
            <w:shd w:fill="123C69"/>
          </w:tcPr>
          <w:p>
            <w:pPr>
              <w:spacing w:after="0"/>
            </w:pPr>
            <w:r/>
            <w:r>
              <w:rPr>
                <w:rFonts w:ascii="Calibri" w:hAnsi="Calibri"/>
                <w:b/>
                <w:i w:val="0"/>
                <w:color w:val="FFFFFF"/>
                <w:sz w:val="17"/>
              </w:rPr>
              <w:t>Uso dentro del consolidado</w:t>
            </w:r>
          </w:p>
        </w:tc>
      </w:tr>
      <w:tr>
        <w:tc>
          <w:tcPr>
            <w:tcW w:type="dxa" w:w="4997"/>
            <w:vAlign w:val="center"/>
          </w:tcPr>
          <w:p>
            <w:pPr>
              <w:spacing w:after="0"/>
            </w:pPr>
            <w:r/>
            <w:r>
              <w:rPr>
                <w:rFonts w:ascii="Calibri" w:hAnsi="Calibri"/>
                <w:b/>
                <w:i w:val="0"/>
                <w:color w:val="263238"/>
                <w:sz w:val="16"/>
              </w:rPr>
              <w:t>Inicio_Modulo2_Matrices_Riesgo_RIESGO_LAVADO.docx</w:t>
            </w:r>
          </w:p>
        </w:tc>
        <w:tc>
          <w:tcPr>
            <w:tcW w:type="dxa" w:w="4997"/>
            <w:vAlign w:val="center"/>
          </w:tcPr>
          <w:p>
            <w:pPr>
              <w:spacing w:after="0"/>
            </w:pPr>
            <w:r/>
            <w:r>
              <w:rPr>
                <w:rFonts w:ascii="Calibri" w:hAnsi="Calibri"/>
                <w:b w:val="0"/>
                <w:i w:val="0"/>
                <w:color w:val="263238"/>
                <w:sz w:val="16"/>
              </w:rPr>
              <w:t>Fuente principal desde Documentación chatGPT. Define inicio formal, alcance, modelo, reglas y criterios.</w:t>
            </w:r>
          </w:p>
        </w:tc>
      </w:tr>
      <w:tr>
        <w:tc>
          <w:tcPr>
            <w:tcW w:type="dxa" w:w="4997"/>
            <w:vAlign w:val="center"/>
          </w:tcPr>
          <w:p>
            <w:pPr>
              <w:spacing w:after="0"/>
            </w:pPr>
            <w:r/>
            <w:r>
              <w:rPr>
                <w:rFonts w:ascii="Calibri" w:hAnsi="Calibri"/>
                <w:b/>
                <w:i w:val="0"/>
                <w:color w:val="263238"/>
                <w:sz w:val="16"/>
              </w:rPr>
              <w:t>Analisis Final Monitoreo Listas.docx</w:t>
            </w:r>
          </w:p>
        </w:tc>
        <w:tc>
          <w:tcPr>
            <w:tcW w:type="dxa" w:w="4997"/>
            <w:vAlign w:val="center"/>
          </w:tcPr>
          <w:p>
            <w:pPr>
              <w:spacing w:after="0"/>
            </w:pPr>
            <w:r/>
            <w:r>
              <w:rPr>
                <w:rFonts w:ascii="Calibri" w:hAnsi="Calibri"/>
                <w:b w:val="0"/>
                <w:i w:val="0"/>
                <w:color w:val="263238"/>
                <w:sz w:val="16"/>
              </w:rPr>
              <w:t>Fuente secundaria. Contiene transición desde Monitoreo de Listas hacia Matrices de Riesgo.</w:t>
            </w:r>
          </w:p>
        </w:tc>
      </w:tr>
      <w:tr>
        <w:tc>
          <w:tcPr>
            <w:tcW w:type="dxa" w:w="4997"/>
            <w:vAlign w:val="center"/>
          </w:tcPr>
          <w:p>
            <w:pPr>
              <w:spacing w:after="0"/>
            </w:pPr>
            <w:r/>
            <w:r>
              <w:rPr>
                <w:rFonts w:ascii="Calibri" w:hAnsi="Calibri"/>
                <w:b/>
                <w:i w:val="0"/>
                <w:color w:val="263238"/>
                <w:sz w:val="16"/>
              </w:rPr>
              <w:t>Analisis_Carpeta_Docs_RIESGO_LAVADO.docx</w:t>
            </w:r>
          </w:p>
        </w:tc>
        <w:tc>
          <w:tcPr>
            <w:tcW w:type="dxa" w:w="4997"/>
            <w:vAlign w:val="center"/>
          </w:tcPr>
          <w:p>
            <w:pPr>
              <w:spacing w:after="0"/>
            </w:pPr>
            <w:r/>
            <w:r>
              <w:rPr>
                <w:rFonts w:ascii="Calibri" w:hAnsi="Calibri"/>
                <w:b w:val="0"/>
                <w:i w:val="0"/>
                <w:color w:val="263238"/>
                <w:sz w:val="16"/>
              </w:rPr>
              <w:t>Fuente de contexto documental. Confirma que el Módulo 2 es el siguiente bloque de continuidad.</w:t>
            </w:r>
          </w:p>
        </w:tc>
      </w:tr>
      <w:tr>
        <w:tc>
          <w:tcPr>
            <w:tcW w:type="dxa" w:w="4997"/>
            <w:vAlign w:val="center"/>
          </w:tcPr>
          <w:p>
            <w:pPr>
              <w:spacing w:after="0"/>
            </w:pPr>
            <w:r/>
            <w:r>
              <w:rPr>
                <w:rFonts w:ascii="Calibri" w:hAnsi="Calibri"/>
                <w:b/>
                <w:i w:val="0"/>
                <w:color w:val="263238"/>
                <w:sz w:val="16"/>
              </w:rPr>
              <w:t>Revision_Codex_RIESGO_LAVADO_Commit_fc569c3.docx</w:t>
            </w:r>
          </w:p>
        </w:tc>
        <w:tc>
          <w:tcPr>
            <w:tcW w:type="dxa" w:w="4997"/>
            <w:vAlign w:val="center"/>
          </w:tcPr>
          <w:p>
            <w:pPr>
              <w:spacing w:after="0"/>
            </w:pPr>
            <w:r/>
            <w:r>
              <w:rPr>
                <w:rFonts w:ascii="Calibri" w:hAnsi="Calibri"/>
                <w:b w:val="0"/>
                <w:i w:val="0"/>
                <w:color w:val="263238"/>
                <w:sz w:val="16"/>
              </w:rPr>
              <w:t>Fuente histórica. Recomienda usar la base de análisis del Módulo 2 como punto formal de partida.</w:t>
            </w:r>
          </w:p>
        </w:tc>
      </w:tr>
      <w:tr>
        <w:tc>
          <w:tcPr>
            <w:tcW w:type="dxa" w:w="4997"/>
            <w:vAlign w:val="center"/>
          </w:tcPr>
          <w:p>
            <w:pPr>
              <w:spacing w:after="0"/>
            </w:pPr>
            <w:r/>
            <w:r>
              <w:rPr>
                <w:rFonts w:ascii="Calibri" w:hAnsi="Calibri"/>
                <w:b/>
                <w:i w:val="0"/>
                <w:color w:val="263238"/>
                <w:sz w:val="16"/>
              </w:rPr>
              <w:t>Documentos existentes del Módulo 2</w:t>
            </w:r>
          </w:p>
        </w:tc>
        <w:tc>
          <w:tcPr>
            <w:tcW w:type="dxa" w:w="4997"/>
            <w:vAlign w:val="center"/>
          </w:tcPr>
          <w:p>
            <w:pPr>
              <w:spacing w:after="0"/>
            </w:pPr>
            <w:r/>
            <w:r>
              <w:rPr>
                <w:rFonts w:ascii="Calibri" w:hAnsi="Calibri"/>
                <w:b w:val="0"/>
                <w:i w:val="0"/>
                <w:color w:val="263238"/>
                <w:sz w:val="16"/>
              </w:rPr>
              <w:t>Se conservan como base documental en la carpeta del módulo.</w:t>
            </w:r>
          </w:p>
        </w:tc>
      </w:tr>
    </w:tbl>
    <w:p>
      <w:pPr>
        <w:spacing w:before="320" w:after="160"/>
      </w:pPr>
      <w:r>
        <w:rPr>
          <w:rFonts w:ascii="Calibri" w:hAnsi="Calibri"/>
          <w:b/>
          <w:i w:val="0"/>
          <w:color w:val="1E6AA8"/>
          <w:sz w:val="32"/>
        </w:rPr>
        <w:t>2. Decisión documental</w:t>
      </w:r>
    </w:p>
    <w:p>
      <w:pPr>
        <w:spacing w:before="0" w:after="120" w:line="264" w:lineRule="auto"/>
      </w:pPr>
      <w:r>
        <w:rPr>
          <w:rFonts w:ascii="Calibri" w:hAnsi="Calibri"/>
          <w:b w:val="0"/>
          <w:i w:val="0"/>
          <w:color w:val="263238"/>
          <w:sz w:val="22"/>
        </w:rPr>
        <w:t>La información útil de Documentación chatGPT relacionada con Matrices de Riesgos debe vivir dentro de la carpeta del Módulo 2, no en una carpeta paralela. La carpeta Documentación chatGPT queda obsoleta para la continuidad del proyecto porque sus documentos de Monitoreo ya fueron absorbidos por los entregables finales de analisis-sistema.</w:t>
      </w:r>
    </w:p>
    <w:p>
      <w:pPr>
        <w:pStyle w:val="ListBullet"/>
        <w:spacing w:after="80" w:line="276" w:lineRule="auto"/>
      </w:pPr>
      <w:r>
        <w:rPr>
          <w:rFonts w:ascii="Calibri" w:hAnsi="Calibri"/>
          <w:b w:val="0"/>
          <w:i w:val="0"/>
          <w:color w:val="263238"/>
          <w:sz w:val="21"/>
        </w:rPr>
        <w:t>Los documentos de cierre y revisión de Monitoreo de Listas se consideran reemplazados por Documentacion_Tecnica_Funcional_RIESGO_LAVADO.docx.</w:t>
      </w:r>
    </w:p>
    <w:p>
      <w:pPr>
        <w:pStyle w:val="ListBullet"/>
        <w:spacing w:after="80" w:line="276" w:lineRule="auto"/>
      </w:pPr>
      <w:r>
        <w:rPr>
          <w:rFonts w:ascii="Calibri" w:hAnsi="Calibri"/>
          <w:b w:val="0"/>
          <w:i w:val="0"/>
          <w:color w:val="263238"/>
          <w:sz w:val="21"/>
        </w:rPr>
        <w:t>Los diagramas para cliente se consideran reemplazados por Guia_Funcional_Cliente_RIESGO_LAVADO.docx.</w:t>
      </w:r>
    </w:p>
    <w:p>
      <w:pPr>
        <w:pStyle w:val="ListBullet"/>
        <w:spacing w:after="80" w:line="276" w:lineRule="auto"/>
      </w:pPr>
      <w:r>
        <w:rPr>
          <w:rFonts w:ascii="Calibri" w:hAnsi="Calibri"/>
          <w:b w:val="0"/>
          <w:i w:val="0"/>
          <w:color w:val="263238"/>
          <w:sz w:val="21"/>
        </w:rPr>
        <w:t>La información de Matrices de Riesgos se preserva en este documento separado dentro de la carpeta oficial del Módulo 2.</w:t>
      </w:r>
    </w:p>
    <w:p>
      <w:pPr>
        <w:spacing w:before="320" w:after="160"/>
      </w:pPr>
      <w:r>
        <w:rPr>
          <w:rFonts w:ascii="Calibri" w:hAnsi="Calibri"/>
          <w:b/>
          <w:i w:val="0"/>
          <w:color w:val="1E6AA8"/>
          <w:sz w:val="32"/>
        </w:rPr>
        <w:t>3. Objetivo funcional del Módulo 2</w:t>
      </w:r>
    </w:p>
    <w:p>
      <w:pPr>
        <w:spacing w:before="0" w:after="120" w:line="264" w:lineRule="auto"/>
      </w:pPr>
      <w:r>
        <w:rPr>
          <w:rFonts w:ascii="Calibri" w:hAnsi="Calibri"/>
          <w:b w:val="0"/>
          <w:i w:val="0"/>
          <w:color w:val="263238"/>
          <w:sz w:val="22"/>
        </w:rPr>
        <w:t>El Módulo 2 - Matrices de Riesgos debe permitir estructurar, calcular, justificar, versionar y consultar el nivel de riesgo LA/FT con base en factores, criterios, ponderaciones, escalas, controles y resultados de riesgo inherente y residual.</w:t>
      </w:r>
    </w:p>
    <w:p>
      <w:pPr>
        <w:pStyle w:val="ListBullet"/>
        <w:spacing w:after="80" w:line="276" w:lineRule="auto"/>
      </w:pPr>
      <w:r>
        <w:rPr>
          <w:rFonts w:ascii="Calibri" w:hAnsi="Calibri"/>
          <w:b w:val="0"/>
          <w:i w:val="0"/>
          <w:color w:val="263238"/>
          <w:sz w:val="21"/>
        </w:rPr>
        <w:t>Registrar matrices por período, unidad, proceso, producto, servicio, tercero o categoría definida por Cumplimiento.</w:t>
      </w:r>
    </w:p>
    <w:p>
      <w:pPr>
        <w:pStyle w:val="ListBullet"/>
        <w:spacing w:after="80" w:line="276" w:lineRule="auto"/>
      </w:pPr>
      <w:r>
        <w:rPr>
          <w:rFonts w:ascii="Calibri" w:hAnsi="Calibri"/>
          <w:b w:val="0"/>
          <w:i w:val="0"/>
          <w:color w:val="263238"/>
          <w:sz w:val="21"/>
        </w:rPr>
        <w:t>Definir factores de riesgo y criterios asociados.</w:t>
      </w:r>
    </w:p>
    <w:p>
      <w:pPr>
        <w:pStyle w:val="ListBullet"/>
        <w:spacing w:after="80" w:line="276" w:lineRule="auto"/>
      </w:pPr>
      <w:r>
        <w:rPr>
          <w:rFonts w:ascii="Calibri" w:hAnsi="Calibri"/>
          <w:b w:val="0"/>
          <w:i w:val="0"/>
          <w:color w:val="263238"/>
          <w:sz w:val="21"/>
        </w:rPr>
        <w:t>Asignar ponderaciones, escalas cuantitativas o cualitativas y niveles de riesgo.</w:t>
      </w:r>
    </w:p>
    <w:p>
      <w:pPr>
        <w:pStyle w:val="ListBullet"/>
        <w:spacing w:after="80" w:line="276" w:lineRule="auto"/>
      </w:pPr>
      <w:r>
        <w:rPr>
          <w:rFonts w:ascii="Calibri" w:hAnsi="Calibri"/>
          <w:b w:val="0"/>
          <w:i w:val="0"/>
          <w:color w:val="263238"/>
          <w:sz w:val="21"/>
        </w:rPr>
        <w:t>Calcular riesgo inherente antes de controles.</w:t>
      </w:r>
    </w:p>
    <w:p>
      <w:pPr>
        <w:pStyle w:val="ListBullet"/>
        <w:spacing w:after="80" w:line="276" w:lineRule="auto"/>
      </w:pPr>
      <w:r>
        <w:rPr>
          <w:rFonts w:ascii="Calibri" w:hAnsi="Calibri"/>
          <w:b w:val="0"/>
          <w:i w:val="0"/>
          <w:color w:val="263238"/>
          <w:sz w:val="21"/>
        </w:rPr>
        <w:t>Registrar controles, efectividad y evidencias de soporte.</w:t>
      </w:r>
    </w:p>
    <w:p>
      <w:pPr>
        <w:pStyle w:val="ListBullet"/>
        <w:spacing w:after="80" w:line="276" w:lineRule="auto"/>
      </w:pPr>
      <w:r>
        <w:rPr>
          <w:rFonts w:ascii="Calibri" w:hAnsi="Calibri"/>
          <w:b w:val="0"/>
          <w:i w:val="0"/>
          <w:color w:val="263238"/>
          <w:sz w:val="21"/>
        </w:rPr>
        <w:t>Calcular riesgo residual después de controles.</w:t>
      </w:r>
    </w:p>
    <w:p>
      <w:pPr>
        <w:pStyle w:val="ListBullet"/>
        <w:spacing w:after="80" w:line="276" w:lineRule="auto"/>
      </w:pPr>
      <w:r>
        <w:rPr>
          <w:rFonts w:ascii="Calibri" w:hAnsi="Calibri"/>
          <w:b w:val="0"/>
          <w:i w:val="0"/>
          <w:color w:val="263238"/>
          <w:sz w:val="21"/>
        </w:rPr>
        <w:t>Generar semaforización, mapa de calor, detalle de cálculo y resumen ejecutivo.</w:t>
      </w:r>
    </w:p>
    <w:p>
      <w:pPr>
        <w:pStyle w:val="ListBullet"/>
        <w:spacing w:after="80" w:line="276" w:lineRule="auto"/>
      </w:pPr>
      <w:r>
        <w:rPr>
          <w:rFonts w:ascii="Calibri" w:hAnsi="Calibri"/>
          <w:b w:val="0"/>
          <w:i w:val="0"/>
          <w:color w:val="263238"/>
          <w:sz w:val="21"/>
        </w:rPr>
        <w:t>Registrar planes de acción para riesgos altos o críticos.</w:t>
      </w:r>
    </w:p>
    <w:p>
      <w:pPr>
        <w:pStyle w:val="ListBullet"/>
        <w:spacing w:after="80" w:line="276" w:lineRule="auto"/>
      </w:pPr>
      <w:r>
        <w:rPr>
          <w:rFonts w:ascii="Calibri" w:hAnsi="Calibri"/>
          <w:b w:val="0"/>
          <w:i w:val="0"/>
          <w:color w:val="263238"/>
          <w:sz w:val="21"/>
        </w:rPr>
        <w:t>Auditar cambios, aprobaciones, exportaciones e impresiones.</w:t>
      </w:r>
    </w:p>
    <w:p>
      <w:pPr>
        <w:spacing w:before="320" w:after="160"/>
      </w:pPr>
      <w:r>
        <w:rPr>
          <w:rFonts w:ascii="Calibri" w:hAnsi="Calibri"/>
          <w:b/>
          <w:i w:val="0"/>
          <w:color w:val="1E6AA8"/>
          <w:sz w:val="32"/>
        </w:rPr>
        <w:t>4. Relación con módulos existentes</w:t>
      </w:r>
    </w:p>
    <w:tbl>
      <w:tblPr>
        <w:tblStyle w:val="TableGrid"/>
        <w:tblW w:type="auto" w:w="0"/>
        <w:jc w:val="center"/>
        <w:tblLook w:firstColumn="1" w:firstRow="1" w:lastColumn="0" w:lastRow="0" w:noHBand="0" w:noVBand="1" w:val="04A0"/>
        <w:tblCellMar>
          <w:top w:w="90" w:type="dxa"/>
          <w:start w:w="130" w:type="dxa"/>
          <w:bottom w:w="90" w:type="dxa"/>
          <w:end w:w="130" w:type="dxa"/>
        </w:tblCellMar>
      </w:tblPr>
      <w:tblGrid>
        <w:gridCol w:w="4997"/>
        <w:gridCol w:w="4997"/>
      </w:tblGrid>
      <w:tr>
        <w:tc>
          <w:tcPr>
            <w:tcW w:type="dxa" w:w="4997"/>
            <w:vAlign w:val="center"/>
            <w:shd w:fill="123C69"/>
          </w:tcPr>
          <w:p>
            <w:pPr>
              <w:spacing w:after="0"/>
            </w:pPr>
            <w:r/>
            <w:r>
              <w:rPr>
                <w:rFonts w:ascii="Calibri" w:hAnsi="Calibri"/>
                <w:b/>
                <w:i w:val="0"/>
                <w:color w:val="FFFFFF"/>
                <w:sz w:val="17"/>
              </w:rPr>
              <w:t>Módulo / fuente</w:t>
            </w:r>
          </w:p>
        </w:tc>
        <w:tc>
          <w:tcPr>
            <w:tcW w:type="dxa" w:w="4997"/>
            <w:vAlign w:val="center"/>
            <w:shd w:fill="123C69"/>
          </w:tcPr>
          <w:p>
            <w:pPr>
              <w:spacing w:after="0"/>
            </w:pPr>
            <w:r/>
            <w:r>
              <w:rPr>
                <w:rFonts w:ascii="Calibri" w:hAnsi="Calibri"/>
                <w:b/>
                <w:i w:val="0"/>
                <w:color w:val="FFFFFF"/>
                <w:sz w:val="17"/>
              </w:rPr>
              <w:t>Relación esperada</w:t>
            </w:r>
          </w:p>
        </w:tc>
      </w:tr>
      <w:tr>
        <w:tc>
          <w:tcPr>
            <w:tcW w:type="dxa" w:w="4997"/>
            <w:vAlign w:val="center"/>
          </w:tcPr>
          <w:p>
            <w:pPr>
              <w:spacing w:after="0"/>
            </w:pPr>
            <w:r/>
            <w:r>
              <w:rPr>
                <w:rFonts w:ascii="Calibri" w:hAnsi="Calibri"/>
                <w:b/>
                <w:i w:val="0"/>
                <w:color w:val="263238"/>
                <w:sz w:val="16"/>
              </w:rPr>
              <w:t>Monitoreo de Listas</w:t>
            </w:r>
          </w:p>
        </w:tc>
        <w:tc>
          <w:tcPr>
            <w:tcW w:type="dxa" w:w="4997"/>
            <w:vAlign w:val="center"/>
          </w:tcPr>
          <w:p>
            <w:pPr>
              <w:spacing w:after="0"/>
            </w:pPr>
            <w:r/>
            <w:r>
              <w:rPr>
                <w:rFonts w:ascii="Calibri" w:hAnsi="Calibri"/>
                <w:b w:val="0"/>
                <w:i w:val="0"/>
                <w:color w:val="263238"/>
                <w:sz w:val="16"/>
              </w:rPr>
              <w:t>Aporta alertas, coincidencias, positivos, evidencias y origen del registro como insumos de riesgo.</w:t>
            </w:r>
          </w:p>
        </w:tc>
      </w:tr>
      <w:tr>
        <w:tc>
          <w:tcPr>
            <w:tcW w:type="dxa" w:w="4997"/>
            <w:vAlign w:val="center"/>
          </w:tcPr>
          <w:p>
            <w:pPr>
              <w:spacing w:after="0"/>
            </w:pPr>
            <w:r/>
            <w:r>
              <w:rPr>
                <w:rFonts w:ascii="Calibri" w:hAnsi="Calibri"/>
                <w:b/>
                <w:i w:val="0"/>
                <w:color w:val="263238"/>
                <w:sz w:val="16"/>
              </w:rPr>
              <w:t>Usuarios y permisos</w:t>
            </w:r>
          </w:p>
        </w:tc>
        <w:tc>
          <w:tcPr>
            <w:tcW w:type="dxa" w:w="4997"/>
            <w:vAlign w:val="center"/>
          </w:tcPr>
          <w:p>
            <w:pPr>
              <w:spacing w:after="0"/>
            </w:pPr>
            <w:r/>
            <w:r>
              <w:rPr>
                <w:rFonts w:ascii="Calibri" w:hAnsi="Calibri"/>
                <w:b w:val="0"/>
                <w:i w:val="0"/>
                <w:color w:val="263238"/>
                <w:sz w:val="16"/>
              </w:rPr>
              <w:t>Controla quién puede crear, evaluar, aprobar, consultar o auditar matrices.</w:t>
            </w:r>
          </w:p>
        </w:tc>
      </w:tr>
      <w:tr>
        <w:tc>
          <w:tcPr>
            <w:tcW w:type="dxa" w:w="4997"/>
            <w:vAlign w:val="center"/>
          </w:tcPr>
          <w:p>
            <w:pPr>
              <w:spacing w:after="0"/>
            </w:pPr>
            <w:r/>
            <w:r>
              <w:rPr>
                <w:rFonts w:ascii="Calibri" w:hAnsi="Calibri"/>
                <w:b/>
                <w:i w:val="0"/>
                <w:color w:val="263238"/>
                <w:sz w:val="16"/>
              </w:rPr>
              <w:t>Catálogos / configuración</w:t>
            </w:r>
          </w:p>
        </w:tc>
        <w:tc>
          <w:tcPr>
            <w:tcW w:type="dxa" w:w="4997"/>
            <w:vAlign w:val="center"/>
          </w:tcPr>
          <w:p>
            <w:pPr>
              <w:spacing w:after="0"/>
            </w:pPr>
            <w:r/>
            <w:r>
              <w:rPr>
                <w:rFonts w:ascii="Calibri" w:hAnsi="Calibri"/>
                <w:b w:val="0"/>
                <w:i w:val="0"/>
                <w:color w:val="263238"/>
                <w:sz w:val="16"/>
              </w:rPr>
              <w:t>Debe alimentar factores, criterios, escalas, estados, niveles y parámetros de cálculo.</w:t>
            </w:r>
          </w:p>
        </w:tc>
      </w:tr>
      <w:tr>
        <w:tc>
          <w:tcPr>
            <w:tcW w:type="dxa" w:w="4997"/>
            <w:vAlign w:val="center"/>
          </w:tcPr>
          <w:p>
            <w:pPr>
              <w:spacing w:after="0"/>
            </w:pPr>
            <w:r/>
            <w:r>
              <w:rPr>
                <w:rFonts w:ascii="Calibri" w:hAnsi="Calibri"/>
                <w:b/>
                <w:i w:val="0"/>
                <w:color w:val="263238"/>
                <w:sz w:val="16"/>
              </w:rPr>
              <w:t>Bitácora</w:t>
            </w:r>
          </w:p>
        </w:tc>
        <w:tc>
          <w:tcPr>
            <w:tcW w:type="dxa" w:w="4997"/>
            <w:vAlign w:val="center"/>
          </w:tcPr>
          <w:p>
            <w:pPr>
              <w:spacing w:after="0"/>
            </w:pPr>
            <w:r/>
            <w:r>
              <w:rPr>
                <w:rFonts w:ascii="Calibri" w:hAnsi="Calibri"/>
                <w:b w:val="0"/>
                <w:i w:val="0"/>
                <w:color w:val="263238"/>
                <w:sz w:val="16"/>
              </w:rPr>
              <w:t>Debe registrar creación, edición, cálculo, aprobación, devolución, cierre, impresión y exportación.</w:t>
            </w:r>
          </w:p>
        </w:tc>
      </w:tr>
      <w:tr>
        <w:tc>
          <w:tcPr>
            <w:tcW w:type="dxa" w:w="4997"/>
            <w:vAlign w:val="center"/>
          </w:tcPr>
          <w:p>
            <w:pPr>
              <w:spacing w:after="0"/>
            </w:pPr>
            <w:r/>
            <w:r>
              <w:rPr>
                <w:rFonts w:ascii="Calibri" w:hAnsi="Calibri"/>
                <w:b/>
                <w:i w:val="0"/>
                <w:color w:val="263238"/>
                <w:sz w:val="16"/>
              </w:rPr>
              <w:t>Reportes</w:t>
            </w:r>
          </w:p>
        </w:tc>
        <w:tc>
          <w:tcPr>
            <w:tcW w:type="dxa" w:w="4997"/>
            <w:vAlign w:val="center"/>
          </w:tcPr>
          <w:p>
            <w:pPr>
              <w:spacing w:after="0"/>
            </w:pPr>
            <w:r/>
            <w:r>
              <w:rPr>
                <w:rFonts w:ascii="Calibri" w:hAnsi="Calibri"/>
                <w:b w:val="0"/>
                <w:i w:val="0"/>
                <w:color w:val="263238"/>
                <w:sz w:val="16"/>
              </w:rPr>
              <w:t>Debe generar mapa de calor, resumen ejecutivo, detalle por factor y exportaciones.</w:t>
            </w:r>
          </w:p>
        </w:tc>
      </w:tr>
      <w:tr>
        <w:tc>
          <w:tcPr>
            <w:tcW w:type="dxa" w:w="4997"/>
            <w:vAlign w:val="center"/>
          </w:tcPr>
          <w:p>
            <w:pPr>
              <w:spacing w:after="0"/>
            </w:pPr>
            <w:r/>
            <w:r>
              <w:rPr>
                <w:rFonts w:ascii="Calibri" w:hAnsi="Calibri"/>
                <w:b/>
                <w:i w:val="0"/>
                <w:color w:val="263238"/>
                <w:sz w:val="16"/>
              </w:rPr>
              <w:t>DNP_IHSS</w:t>
            </w:r>
          </w:p>
        </w:tc>
        <w:tc>
          <w:tcPr>
            <w:tcW w:type="dxa" w:w="4997"/>
            <w:vAlign w:val="center"/>
          </w:tcPr>
          <w:p>
            <w:pPr>
              <w:spacing w:after="0"/>
            </w:pPr>
            <w:r/>
            <w:r>
              <w:rPr>
                <w:rFonts w:ascii="Calibri" w:hAnsi="Calibri"/>
                <w:b w:val="0"/>
                <w:i w:val="0"/>
                <w:color w:val="263238"/>
                <w:sz w:val="16"/>
              </w:rPr>
              <w:t>Debe tratarse como fuente de información o posible receptor de resultado solo si GTIC confirma permisos e integración.</w:t>
            </w:r>
          </w:p>
        </w:tc>
      </w:tr>
    </w:tbl>
    <w:p>
      <w:pPr>
        <w:spacing w:before="320" w:after="160"/>
      </w:pPr>
      <w:r>
        <w:rPr>
          <w:rFonts w:ascii="Calibri" w:hAnsi="Calibri"/>
          <w:b/>
          <w:i w:val="0"/>
          <w:color w:val="1E6AA8"/>
          <w:sz w:val="32"/>
        </w:rPr>
        <w:t>5. Alcance preliminar recomendado</w:t>
      </w:r>
    </w:p>
    <w:tbl>
      <w:tblPr>
        <w:tblStyle w:val="TableGrid"/>
        <w:tblW w:type="auto" w:w="0"/>
        <w:jc w:val="center"/>
        <w:tblLook w:firstColumn="1" w:firstRow="1" w:lastColumn="0" w:lastRow="0" w:noHBand="0" w:noVBand="1" w:val="04A0"/>
        <w:tblCellMar>
          <w:top w:w="90" w:type="dxa"/>
          <w:start w:w="130" w:type="dxa"/>
          <w:bottom w:w="90" w:type="dxa"/>
          <w:end w:w="130" w:type="dxa"/>
        </w:tblCellMar>
      </w:tblPr>
      <w:tblGrid>
        <w:gridCol w:w="4997"/>
        <w:gridCol w:w="4997"/>
      </w:tblGrid>
      <w:tr>
        <w:tc>
          <w:tcPr>
            <w:tcW w:type="dxa" w:w="4997"/>
            <w:vAlign w:val="center"/>
            <w:shd w:fill="123C69"/>
          </w:tcPr>
          <w:p>
            <w:pPr>
              <w:spacing w:after="0"/>
            </w:pPr>
            <w:r/>
            <w:r>
              <w:rPr>
                <w:rFonts w:ascii="Calibri" w:hAnsi="Calibri"/>
                <w:b/>
                <w:i w:val="0"/>
                <w:color w:val="FFFFFF"/>
                <w:sz w:val="17"/>
              </w:rPr>
              <w:t>Bloque funcional</w:t>
            </w:r>
          </w:p>
        </w:tc>
        <w:tc>
          <w:tcPr>
            <w:tcW w:type="dxa" w:w="4997"/>
            <w:vAlign w:val="center"/>
            <w:shd w:fill="123C69"/>
          </w:tcPr>
          <w:p>
            <w:pPr>
              <w:spacing w:after="0"/>
            </w:pPr>
            <w:r/>
            <w:r>
              <w:rPr>
                <w:rFonts w:ascii="Calibri" w:hAnsi="Calibri"/>
                <w:b/>
                <w:i w:val="0"/>
                <w:color w:val="FFFFFF"/>
                <w:sz w:val="17"/>
              </w:rPr>
              <w:t>Descripción</w:t>
            </w:r>
          </w:p>
        </w:tc>
      </w:tr>
      <w:tr>
        <w:tc>
          <w:tcPr>
            <w:tcW w:type="dxa" w:w="4997"/>
            <w:vAlign w:val="center"/>
          </w:tcPr>
          <w:p>
            <w:pPr>
              <w:spacing w:after="0"/>
            </w:pPr>
            <w:r/>
            <w:r>
              <w:rPr>
                <w:rFonts w:ascii="Calibri" w:hAnsi="Calibri"/>
                <w:b/>
                <w:i w:val="0"/>
                <w:color w:val="263238"/>
                <w:sz w:val="16"/>
              </w:rPr>
              <w:t>Administración de metodología</w:t>
            </w:r>
          </w:p>
        </w:tc>
        <w:tc>
          <w:tcPr>
            <w:tcW w:type="dxa" w:w="4997"/>
            <w:vAlign w:val="center"/>
          </w:tcPr>
          <w:p>
            <w:pPr>
              <w:spacing w:after="0"/>
            </w:pPr>
            <w:r/>
            <w:r>
              <w:rPr>
                <w:rFonts w:ascii="Calibri" w:hAnsi="Calibri"/>
                <w:b w:val="0"/>
                <w:i w:val="0"/>
                <w:color w:val="263238"/>
                <w:sz w:val="16"/>
              </w:rPr>
              <w:t>Factores, criterios, ponderaciones, escalas, rangos y niveles.</w:t>
            </w:r>
          </w:p>
        </w:tc>
      </w:tr>
      <w:tr>
        <w:tc>
          <w:tcPr>
            <w:tcW w:type="dxa" w:w="4997"/>
            <w:vAlign w:val="center"/>
          </w:tcPr>
          <w:p>
            <w:pPr>
              <w:spacing w:after="0"/>
            </w:pPr>
            <w:r/>
            <w:r>
              <w:rPr>
                <w:rFonts w:ascii="Calibri" w:hAnsi="Calibri"/>
                <w:b/>
                <w:i w:val="0"/>
                <w:color w:val="263238"/>
                <w:sz w:val="16"/>
              </w:rPr>
              <w:t>Gestión de matrices</w:t>
            </w:r>
          </w:p>
        </w:tc>
        <w:tc>
          <w:tcPr>
            <w:tcW w:type="dxa" w:w="4997"/>
            <w:vAlign w:val="center"/>
          </w:tcPr>
          <w:p>
            <w:pPr>
              <w:spacing w:after="0"/>
            </w:pPr>
            <w:r/>
            <w:r>
              <w:rPr>
                <w:rFonts w:ascii="Calibri" w:hAnsi="Calibri"/>
                <w:b w:val="0"/>
                <w:i w:val="0"/>
                <w:color w:val="263238"/>
                <w:sz w:val="16"/>
              </w:rPr>
              <w:t>Crear, consultar, editar, versionar, activar, inactivar y cerrar matrices.</w:t>
            </w:r>
          </w:p>
        </w:tc>
      </w:tr>
      <w:tr>
        <w:tc>
          <w:tcPr>
            <w:tcW w:type="dxa" w:w="4997"/>
            <w:vAlign w:val="center"/>
          </w:tcPr>
          <w:p>
            <w:pPr>
              <w:spacing w:after="0"/>
            </w:pPr>
            <w:r/>
            <w:r>
              <w:rPr>
                <w:rFonts w:ascii="Calibri" w:hAnsi="Calibri"/>
                <w:b/>
                <w:i w:val="0"/>
                <w:color w:val="263238"/>
                <w:sz w:val="16"/>
              </w:rPr>
              <w:t>Evaluación de riesgo</w:t>
            </w:r>
          </w:p>
        </w:tc>
        <w:tc>
          <w:tcPr>
            <w:tcW w:type="dxa" w:w="4997"/>
            <w:vAlign w:val="center"/>
          </w:tcPr>
          <w:p>
            <w:pPr>
              <w:spacing w:after="0"/>
            </w:pPr>
            <w:r/>
            <w:r>
              <w:rPr>
                <w:rFonts w:ascii="Calibri" w:hAnsi="Calibri"/>
                <w:b w:val="0"/>
                <w:i w:val="0"/>
                <w:color w:val="263238"/>
                <w:sz w:val="16"/>
              </w:rPr>
              <w:t>Capturar valores, calcular riesgo inherente, registrar controles y calcular residual.</w:t>
            </w:r>
          </w:p>
        </w:tc>
      </w:tr>
      <w:tr>
        <w:tc>
          <w:tcPr>
            <w:tcW w:type="dxa" w:w="4997"/>
            <w:vAlign w:val="center"/>
          </w:tcPr>
          <w:p>
            <w:pPr>
              <w:spacing w:after="0"/>
            </w:pPr>
            <w:r/>
            <w:r>
              <w:rPr>
                <w:rFonts w:ascii="Calibri" w:hAnsi="Calibri"/>
                <w:b/>
                <w:i w:val="0"/>
                <w:color w:val="263238"/>
                <w:sz w:val="16"/>
              </w:rPr>
              <w:t>Controles mitigantes</w:t>
            </w:r>
          </w:p>
        </w:tc>
        <w:tc>
          <w:tcPr>
            <w:tcW w:type="dxa" w:w="4997"/>
            <w:vAlign w:val="center"/>
          </w:tcPr>
          <w:p>
            <w:pPr>
              <w:spacing w:after="0"/>
            </w:pPr>
            <w:r/>
            <w:r>
              <w:rPr>
                <w:rFonts w:ascii="Calibri" w:hAnsi="Calibri"/>
                <w:b w:val="0"/>
                <w:i w:val="0"/>
                <w:color w:val="263238"/>
                <w:sz w:val="16"/>
              </w:rPr>
              <w:t>Registrar control, responsable, efectividad, evidencia y vigencia.</w:t>
            </w:r>
          </w:p>
        </w:tc>
      </w:tr>
      <w:tr>
        <w:tc>
          <w:tcPr>
            <w:tcW w:type="dxa" w:w="4997"/>
            <w:vAlign w:val="center"/>
          </w:tcPr>
          <w:p>
            <w:pPr>
              <w:spacing w:after="0"/>
            </w:pPr>
            <w:r/>
            <w:r>
              <w:rPr>
                <w:rFonts w:ascii="Calibri" w:hAnsi="Calibri"/>
                <w:b/>
                <w:i w:val="0"/>
                <w:color w:val="263238"/>
                <w:sz w:val="16"/>
              </w:rPr>
              <w:t>Planes de acción</w:t>
            </w:r>
          </w:p>
        </w:tc>
        <w:tc>
          <w:tcPr>
            <w:tcW w:type="dxa" w:w="4997"/>
            <w:vAlign w:val="center"/>
          </w:tcPr>
          <w:p>
            <w:pPr>
              <w:spacing w:after="0"/>
            </w:pPr>
            <w:r/>
            <w:r>
              <w:rPr>
                <w:rFonts w:ascii="Calibri" w:hAnsi="Calibri"/>
                <w:b w:val="0"/>
                <w:i w:val="0"/>
                <w:color w:val="263238"/>
                <w:sz w:val="16"/>
              </w:rPr>
              <w:t>Crear acciones para riesgos altos o críticos, con responsable y fecha compromiso.</w:t>
            </w:r>
          </w:p>
        </w:tc>
      </w:tr>
      <w:tr>
        <w:tc>
          <w:tcPr>
            <w:tcW w:type="dxa" w:w="4997"/>
            <w:vAlign w:val="center"/>
          </w:tcPr>
          <w:p>
            <w:pPr>
              <w:spacing w:after="0"/>
            </w:pPr>
            <w:r/>
            <w:r>
              <w:rPr>
                <w:rFonts w:ascii="Calibri" w:hAnsi="Calibri"/>
                <w:b/>
                <w:i w:val="0"/>
                <w:color w:val="263238"/>
                <w:sz w:val="16"/>
              </w:rPr>
              <w:t>Aprobaciones</w:t>
            </w:r>
          </w:p>
        </w:tc>
        <w:tc>
          <w:tcPr>
            <w:tcW w:type="dxa" w:w="4997"/>
            <w:vAlign w:val="center"/>
          </w:tcPr>
          <w:p>
            <w:pPr>
              <w:spacing w:after="0"/>
            </w:pPr>
            <w:r/>
            <w:r>
              <w:rPr>
                <w:rFonts w:ascii="Calibri" w:hAnsi="Calibri"/>
                <w:b w:val="0"/>
                <w:i w:val="0"/>
                <w:color w:val="263238"/>
                <w:sz w:val="16"/>
              </w:rPr>
              <w:t>Enviar, revisar, aprobar, devolver o cerrar matrices según perfil.</w:t>
            </w:r>
          </w:p>
        </w:tc>
      </w:tr>
      <w:tr>
        <w:tc>
          <w:tcPr>
            <w:tcW w:type="dxa" w:w="4997"/>
            <w:vAlign w:val="center"/>
          </w:tcPr>
          <w:p>
            <w:pPr>
              <w:spacing w:after="0"/>
            </w:pPr>
            <w:r/>
            <w:r>
              <w:rPr>
                <w:rFonts w:ascii="Calibri" w:hAnsi="Calibri"/>
                <w:b/>
                <w:i w:val="0"/>
                <w:color w:val="263238"/>
                <w:sz w:val="16"/>
              </w:rPr>
              <w:t>Reportes</w:t>
            </w:r>
          </w:p>
        </w:tc>
        <w:tc>
          <w:tcPr>
            <w:tcW w:type="dxa" w:w="4997"/>
            <w:vAlign w:val="center"/>
          </w:tcPr>
          <w:p>
            <w:pPr>
              <w:spacing w:after="0"/>
            </w:pPr>
            <w:r/>
            <w:r>
              <w:rPr>
                <w:rFonts w:ascii="Calibri" w:hAnsi="Calibri"/>
                <w:b w:val="0"/>
                <w:i w:val="0"/>
                <w:color w:val="263238"/>
                <w:sz w:val="16"/>
              </w:rPr>
              <w:t>Exportar mapa de calor, resumen ejecutivo y detalle de cálculo.</w:t>
            </w:r>
          </w:p>
        </w:tc>
      </w:tr>
    </w:tbl>
    <w:p>
      <w:pPr>
        <w:spacing w:before="320" w:after="160"/>
      </w:pPr>
      <w:r>
        <w:rPr>
          <w:rFonts w:ascii="Calibri" w:hAnsi="Calibri"/>
          <w:b/>
          <w:i w:val="0"/>
          <w:color w:val="1E6AA8"/>
          <w:sz w:val="32"/>
        </w:rPr>
        <w:t>6. Modelo conceptual inicial</w:t>
      </w:r>
    </w:p>
    <w:p>
      <w:pPr>
        <w:spacing w:before="0" w:after="120" w:line="264" w:lineRule="auto"/>
      </w:pPr>
      <w:r>
        <w:rPr>
          <w:rFonts w:ascii="Calibri" w:hAnsi="Calibri"/>
          <w:b w:val="0"/>
          <w:i w:val="0"/>
          <w:color w:val="263238"/>
          <w:sz w:val="22"/>
        </w:rPr>
        <w:t>El modelo definitivo debe aprobarse con Cumplimiento antes de programar. Como punto de partida, se recomienda una estructura normalizada y auditable dentro de RIESGO_LAVADO.</w:t>
      </w:r>
    </w:p>
    <w:p>
      <w:pPr>
        <w:pStyle w:val="ListBullet"/>
        <w:spacing w:after="80" w:line="276" w:lineRule="auto"/>
      </w:pPr>
      <w:r>
        <w:rPr>
          <w:rFonts w:ascii="Calibri" w:hAnsi="Calibri"/>
          <w:b w:val="0"/>
          <w:i w:val="0"/>
          <w:color w:val="263238"/>
          <w:sz w:val="21"/>
        </w:rPr>
        <w:t>Matrices: encabezado, período, alcance, estado, versión y responsable.</w:t>
      </w:r>
    </w:p>
    <w:p>
      <w:pPr>
        <w:pStyle w:val="ListBullet"/>
        <w:spacing w:after="80" w:line="276" w:lineRule="auto"/>
      </w:pPr>
      <w:r>
        <w:rPr>
          <w:rFonts w:ascii="Calibri" w:hAnsi="Calibri"/>
          <w:b w:val="0"/>
          <w:i w:val="0"/>
          <w:color w:val="263238"/>
          <w:sz w:val="21"/>
        </w:rPr>
        <w:t>Factores: catálogo de factores, ponderación y estado.</w:t>
      </w:r>
    </w:p>
    <w:p>
      <w:pPr>
        <w:pStyle w:val="ListBullet"/>
        <w:spacing w:after="80" w:line="276" w:lineRule="auto"/>
      </w:pPr>
      <w:r>
        <w:rPr>
          <w:rFonts w:ascii="Calibri" w:hAnsi="Calibri"/>
          <w:b w:val="0"/>
          <w:i w:val="0"/>
          <w:color w:val="263238"/>
          <w:sz w:val="21"/>
        </w:rPr>
        <w:t>Criterios: variables evaluables por factor, escala y valor esperado.</w:t>
      </w:r>
    </w:p>
    <w:p>
      <w:pPr>
        <w:pStyle w:val="ListBullet"/>
        <w:spacing w:after="80" w:line="276" w:lineRule="auto"/>
      </w:pPr>
      <w:r>
        <w:rPr>
          <w:rFonts w:ascii="Calibri" w:hAnsi="Calibri"/>
          <w:b w:val="0"/>
          <w:i w:val="0"/>
          <w:color w:val="263238"/>
          <w:sz w:val="21"/>
        </w:rPr>
        <w:t>Evaluaciones: respuestas, puntajes y cálculo por matriz.</w:t>
      </w:r>
    </w:p>
    <w:p>
      <w:pPr>
        <w:pStyle w:val="ListBullet"/>
        <w:spacing w:after="80" w:line="276" w:lineRule="auto"/>
      </w:pPr>
      <w:r>
        <w:rPr>
          <w:rFonts w:ascii="Calibri" w:hAnsi="Calibri"/>
          <w:b w:val="0"/>
          <w:i w:val="0"/>
          <w:color w:val="263238"/>
          <w:sz w:val="21"/>
        </w:rPr>
        <w:t>Controles: controles mitigantes, efectividad y evidencia.</w:t>
      </w:r>
    </w:p>
    <w:p>
      <w:pPr>
        <w:pStyle w:val="ListBullet"/>
        <w:spacing w:after="80" w:line="276" w:lineRule="auto"/>
      </w:pPr>
      <w:r>
        <w:rPr>
          <w:rFonts w:ascii="Calibri" w:hAnsi="Calibri"/>
          <w:b w:val="0"/>
          <w:i w:val="0"/>
          <w:color w:val="263238"/>
          <w:sz w:val="21"/>
        </w:rPr>
        <w:t>Resultados: riesgo inherente, riesgo residual, nivel, color y observaciones.</w:t>
      </w:r>
    </w:p>
    <w:p>
      <w:pPr>
        <w:pStyle w:val="ListBullet"/>
        <w:spacing w:after="80" w:line="276" w:lineRule="auto"/>
      </w:pPr>
      <w:r>
        <w:rPr>
          <w:rFonts w:ascii="Calibri" w:hAnsi="Calibri"/>
          <w:b w:val="0"/>
          <w:i w:val="0"/>
          <w:color w:val="263238"/>
          <w:sz w:val="21"/>
        </w:rPr>
        <w:t>Aprobaciones: flujo de revisión, devolución, aprobación y cierre.</w:t>
      </w:r>
    </w:p>
    <w:p>
      <w:pPr>
        <w:pStyle w:val="ListBullet"/>
        <w:spacing w:after="80" w:line="276" w:lineRule="auto"/>
      </w:pPr>
      <w:r>
        <w:rPr>
          <w:rFonts w:ascii="Calibri" w:hAnsi="Calibri"/>
          <w:b w:val="0"/>
          <w:i w:val="0"/>
          <w:color w:val="263238"/>
          <w:sz w:val="21"/>
        </w:rPr>
        <w:t>Planes de acción: compromisos derivados de riesgos altos o críticos.</w:t>
      </w:r>
    </w:p>
    <w:p>
      <w:pPr>
        <w:pStyle w:val="ListBullet"/>
        <w:spacing w:after="80" w:line="276" w:lineRule="auto"/>
      </w:pPr>
      <w:r>
        <w:rPr>
          <w:rFonts w:ascii="Calibri" w:hAnsi="Calibri"/>
          <w:b w:val="0"/>
          <w:i w:val="0"/>
          <w:color w:val="263238"/>
          <w:sz w:val="21"/>
        </w:rPr>
        <w:t>Auditoría: eventos relevantes y trazabilidad completa.</w:t>
      </w:r>
    </w:p>
    <w:p>
      <w:pPr>
        <w:spacing w:before="320" w:after="160"/>
      </w:pPr>
      <w:r>
        <w:rPr>
          <w:rFonts w:ascii="Calibri" w:hAnsi="Calibri"/>
          <w:b/>
          <w:i w:val="0"/>
          <w:color w:val="1E6AA8"/>
          <w:sz w:val="32"/>
        </w:rPr>
        <w:t>7. Pantallas mínimas sugeridas</w:t>
      </w:r>
    </w:p>
    <w:tbl>
      <w:tblPr>
        <w:tblStyle w:val="TableGrid"/>
        <w:tblW w:type="auto" w:w="0"/>
        <w:jc w:val="center"/>
        <w:tblLook w:firstColumn="1" w:firstRow="1" w:lastColumn="0" w:lastRow="0" w:noHBand="0" w:noVBand="1" w:val="04A0"/>
        <w:tblCellMar>
          <w:top w:w="90" w:type="dxa"/>
          <w:start w:w="130" w:type="dxa"/>
          <w:bottom w:w="90" w:type="dxa"/>
          <w:end w:w="130" w:type="dxa"/>
        </w:tblCellMar>
      </w:tblPr>
      <w:tblGrid>
        <w:gridCol w:w="4997"/>
        <w:gridCol w:w="4997"/>
      </w:tblGrid>
      <w:tr>
        <w:tc>
          <w:tcPr>
            <w:tcW w:type="dxa" w:w="4997"/>
            <w:vAlign w:val="center"/>
            <w:shd w:fill="123C69"/>
          </w:tcPr>
          <w:p>
            <w:pPr>
              <w:spacing w:after="0"/>
            </w:pPr>
            <w:r/>
            <w:r>
              <w:rPr>
                <w:rFonts w:ascii="Calibri" w:hAnsi="Calibri"/>
                <w:b/>
                <w:i w:val="0"/>
                <w:color w:val="FFFFFF"/>
                <w:sz w:val="17"/>
              </w:rPr>
              <w:t>Pantalla</w:t>
            </w:r>
          </w:p>
        </w:tc>
        <w:tc>
          <w:tcPr>
            <w:tcW w:type="dxa" w:w="4997"/>
            <w:vAlign w:val="center"/>
            <w:shd w:fill="123C69"/>
          </w:tcPr>
          <w:p>
            <w:pPr>
              <w:spacing w:after="0"/>
            </w:pPr>
            <w:r/>
            <w:r>
              <w:rPr>
                <w:rFonts w:ascii="Calibri" w:hAnsi="Calibri"/>
                <w:b/>
                <w:i w:val="0"/>
                <w:color w:val="FFFFFF"/>
                <w:sz w:val="17"/>
              </w:rPr>
              <w:t>Propósito</w:t>
            </w:r>
          </w:p>
        </w:tc>
      </w:tr>
      <w:tr>
        <w:tc>
          <w:tcPr>
            <w:tcW w:type="dxa" w:w="4997"/>
            <w:vAlign w:val="center"/>
          </w:tcPr>
          <w:p>
            <w:pPr>
              <w:spacing w:after="0"/>
            </w:pPr>
            <w:r/>
            <w:r>
              <w:rPr>
                <w:rFonts w:ascii="Calibri" w:hAnsi="Calibri"/>
                <w:b/>
                <w:i w:val="0"/>
                <w:color w:val="263238"/>
                <w:sz w:val="16"/>
              </w:rPr>
              <w:t>Dashboard de matrices</w:t>
            </w:r>
          </w:p>
        </w:tc>
        <w:tc>
          <w:tcPr>
            <w:tcW w:type="dxa" w:w="4997"/>
            <w:vAlign w:val="center"/>
          </w:tcPr>
          <w:p>
            <w:pPr>
              <w:spacing w:after="0"/>
            </w:pPr>
            <w:r/>
            <w:r>
              <w:rPr>
                <w:rFonts w:ascii="Calibri" w:hAnsi="Calibri"/>
                <w:b w:val="0"/>
                <w:i w:val="0"/>
                <w:color w:val="263238"/>
                <w:sz w:val="16"/>
              </w:rPr>
              <w:t>Resumen de matrices por estado, período, nivel de riesgo y responsables.</w:t>
            </w:r>
          </w:p>
        </w:tc>
      </w:tr>
      <w:tr>
        <w:tc>
          <w:tcPr>
            <w:tcW w:type="dxa" w:w="4997"/>
            <w:vAlign w:val="center"/>
          </w:tcPr>
          <w:p>
            <w:pPr>
              <w:spacing w:after="0"/>
            </w:pPr>
            <w:r/>
            <w:r>
              <w:rPr>
                <w:rFonts w:ascii="Calibri" w:hAnsi="Calibri"/>
                <w:b/>
                <w:i w:val="0"/>
                <w:color w:val="263238"/>
                <w:sz w:val="16"/>
              </w:rPr>
              <w:t>Metodología</w:t>
            </w:r>
          </w:p>
        </w:tc>
        <w:tc>
          <w:tcPr>
            <w:tcW w:type="dxa" w:w="4997"/>
            <w:vAlign w:val="center"/>
          </w:tcPr>
          <w:p>
            <w:pPr>
              <w:spacing w:after="0"/>
            </w:pPr>
            <w:r/>
            <w:r>
              <w:rPr>
                <w:rFonts w:ascii="Calibri" w:hAnsi="Calibri"/>
                <w:b w:val="0"/>
                <w:i w:val="0"/>
                <w:color w:val="263238"/>
                <w:sz w:val="16"/>
              </w:rPr>
              <w:t>Administración de factores, criterios, ponderaciones, escalas y niveles.</w:t>
            </w:r>
          </w:p>
        </w:tc>
      </w:tr>
      <w:tr>
        <w:tc>
          <w:tcPr>
            <w:tcW w:type="dxa" w:w="4997"/>
            <w:vAlign w:val="center"/>
          </w:tcPr>
          <w:p>
            <w:pPr>
              <w:spacing w:after="0"/>
            </w:pPr>
            <w:r/>
            <w:r>
              <w:rPr>
                <w:rFonts w:ascii="Calibri" w:hAnsi="Calibri"/>
                <w:b/>
                <w:i w:val="0"/>
                <w:color w:val="263238"/>
                <w:sz w:val="16"/>
              </w:rPr>
              <w:t>Crear / editar matriz</w:t>
            </w:r>
          </w:p>
        </w:tc>
        <w:tc>
          <w:tcPr>
            <w:tcW w:type="dxa" w:w="4997"/>
            <w:vAlign w:val="center"/>
          </w:tcPr>
          <w:p>
            <w:pPr>
              <w:spacing w:after="0"/>
            </w:pPr>
            <w:r/>
            <w:r>
              <w:rPr>
                <w:rFonts w:ascii="Calibri" w:hAnsi="Calibri"/>
                <w:b w:val="0"/>
                <w:i w:val="0"/>
                <w:color w:val="263238"/>
                <w:sz w:val="16"/>
              </w:rPr>
              <w:t>Captura de encabezado, alcance, factores, criterios y responsables.</w:t>
            </w:r>
          </w:p>
        </w:tc>
      </w:tr>
      <w:tr>
        <w:tc>
          <w:tcPr>
            <w:tcW w:type="dxa" w:w="4997"/>
            <w:vAlign w:val="center"/>
          </w:tcPr>
          <w:p>
            <w:pPr>
              <w:spacing w:after="0"/>
            </w:pPr>
            <w:r/>
            <w:r>
              <w:rPr>
                <w:rFonts w:ascii="Calibri" w:hAnsi="Calibri"/>
                <w:b/>
                <w:i w:val="0"/>
                <w:color w:val="263238"/>
                <w:sz w:val="16"/>
              </w:rPr>
              <w:t>Evaluación</w:t>
            </w:r>
          </w:p>
        </w:tc>
        <w:tc>
          <w:tcPr>
            <w:tcW w:type="dxa" w:w="4997"/>
            <w:vAlign w:val="center"/>
          </w:tcPr>
          <w:p>
            <w:pPr>
              <w:spacing w:after="0"/>
            </w:pPr>
            <w:r/>
            <w:r>
              <w:rPr>
                <w:rFonts w:ascii="Calibri" w:hAnsi="Calibri"/>
                <w:b w:val="0"/>
                <w:i w:val="0"/>
                <w:color w:val="263238"/>
                <w:sz w:val="16"/>
              </w:rPr>
              <w:t>Ingreso de valores, controles, evidencias y observaciones.</w:t>
            </w:r>
          </w:p>
        </w:tc>
      </w:tr>
      <w:tr>
        <w:tc>
          <w:tcPr>
            <w:tcW w:type="dxa" w:w="4997"/>
            <w:vAlign w:val="center"/>
          </w:tcPr>
          <w:p>
            <w:pPr>
              <w:spacing w:after="0"/>
            </w:pPr>
            <w:r/>
            <w:r>
              <w:rPr>
                <w:rFonts w:ascii="Calibri" w:hAnsi="Calibri"/>
                <w:b/>
                <w:i w:val="0"/>
                <w:color w:val="263238"/>
                <w:sz w:val="16"/>
              </w:rPr>
              <w:t>Mapa de calor</w:t>
            </w:r>
          </w:p>
        </w:tc>
        <w:tc>
          <w:tcPr>
            <w:tcW w:type="dxa" w:w="4997"/>
            <w:vAlign w:val="center"/>
          </w:tcPr>
          <w:p>
            <w:pPr>
              <w:spacing w:after="0"/>
            </w:pPr>
            <w:r/>
            <w:r>
              <w:rPr>
                <w:rFonts w:ascii="Calibri" w:hAnsi="Calibri"/>
                <w:b w:val="0"/>
                <w:i w:val="0"/>
                <w:color w:val="263238"/>
                <w:sz w:val="16"/>
              </w:rPr>
              <w:t>Visualización del riesgo inherente y residual por factor o matriz.</w:t>
            </w:r>
          </w:p>
        </w:tc>
      </w:tr>
      <w:tr>
        <w:tc>
          <w:tcPr>
            <w:tcW w:type="dxa" w:w="4997"/>
            <w:vAlign w:val="center"/>
          </w:tcPr>
          <w:p>
            <w:pPr>
              <w:spacing w:after="0"/>
            </w:pPr>
            <w:r/>
            <w:r>
              <w:rPr>
                <w:rFonts w:ascii="Calibri" w:hAnsi="Calibri"/>
                <w:b/>
                <w:i w:val="0"/>
                <w:color w:val="263238"/>
                <w:sz w:val="16"/>
              </w:rPr>
              <w:t>Aprobación</w:t>
            </w:r>
          </w:p>
        </w:tc>
        <w:tc>
          <w:tcPr>
            <w:tcW w:type="dxa" w:w="4997"/>
            <w:vAlign w:val="center"/>
          </w:tcPr>
          <w:p>
            <w:pPr>
              <w:spacing w:after="0"/>
            </w:pPr>
            <w:r/>
            <w:r>
              <w:rPr>
                <w:rFonts w:ascii="Calibri" w:hAnsi="Calibri"/>
                <w:b w:val="0"/>
                <w:i w:val="0"/>
                <w:color w:val="263238"/>
                <w:sz w:val="16"/>
              </w:rPr>
              <w:t>Revisión, devolución, aprobación y cierre por rol autorizado.</w:t>
            </w:r>
          </w:p>
        </w:tc>
      </w:tr>
      <w:tr>
        <w:tc>
          <w:tcPr>
            <w:tcW w:type="dxa" w:w="4997"/>
            <w:vAlign w:val="center"/>
          </w:tcPr>
          <w:p>
            <w:pPr>
              <w:spacing w:after="0"/>
            </w:pPr>
            <w:r/>
            <w:r>
              <w:rPr>
                <w:rFonts w:ascii="Calibri" w:hAnsi="Calibri"/>
                <w:b/>
                <w:i w:val="0"/>
                <w:color w:val="263238"/>
                <w:sz w:val="16"/>
              </w:rPr>
              <w:t>Reportes</w:t>
            </w:r>
          </w:p>
        </w:tc>
        <w:tc>
          <w:tcPr>
            <w:tcW w:type="dxa" w:w="4997"/>
            <w:vAlign w:val="center"/>
          </w:tcPr>
          <w:p>
            <w:pPr>
              <w:spacing w:after="0"/>
            </w:pPr>
            <w:r/>
            <w:r>
              <w:rPr>
                <w:rFonts w:ascii="Calibri" w:hAnsi="Calibri"/>
                <w:b w:val="0"/>
                <w:i w:val="0"/>
                <w:color w:val="263238"/>
                <w:sz w:val="16"/>
              </w:rPr>
              <w:t>Exportación PDF/Excel y detalle de cálculo.</w:t>
            </w:r>
          </w:p>
        </w:tc>
      </w:tr>
    </w:tbl>
    <w:p>
      <w:pPr>
        <w:spacing w:before="320" w:after="160"/>
      </w:pPr>
      <w:r>
        <w:rPr>
          <w:rFonts w:ascii="Calibri" w:hAnsi="Calibri"/>
          <w:b/>
          <w:i w:val="0"/>
          <w:color w:val="1E6AA8"/>
          <w:sz w:val="32"/>
        </w:rPr>
        <w:t>8. Preguntas obligatorias antes de desarrollar</w:t>
      </w:r>
    </w:p>
    <w:p>
      <w:pPr>
        <w:pStyle w:val="ListBullet"/>
        <w:spacing w:after="80" w:line="276" w:lineRule="auto"/>
      </w:pPr>
      <w:r>
        <w:rPr>
          <w:rFonts w:ascii="Calibri" w:hAnsi="Calibri"/>
          <w:b w:val="0"/>
          <w:i w:val="0"/>
          <w:color w:val="263238"/>
          <w:sz w:val="21"/>
        </w:rPr>
        <w:t>¿La matriz institucional y el scoring de terceros, patronos, proveedores o empleados serán flujos separados o una sola metodología?</w:t>
      </w:r>
    </w:p>
    <w:p>
      <w:pPr>
        <w:pStyle w:val="ListBullet"/>
        <w:spacing w:after="80" w:line="276" w:lineRule="auto"/>
      </w:pPr>
      <w:r>
        <w:rPr>
          <w:rFonts w:ascii="Calibri" w:hAnsi="Calibri"/>
          <w:b w:val="0"/>
          <w:i w:val="0"/>
          <w:color w:val="263238"/>
          <w:sz w:val="21"/>
        </w:rPr>
        <w:t>¿Cuáles son los factores oficiales iniciales y sus ponderaciones?</w:t>
      </w:r>
    </w:p>
    <w:p>
      <w:pPr>
        <w:pStyle w:val="ListBullet"/>
        <w:spacing w:after="80" w:line="276" w:lineRule="auto"/>
      </w:pPr>
      <w:r>
        <w:rPr>
          <w:rFonts w:ascii="Calibri" w:hAnsi="Calibri"/>
          <w:b w:val="0"/>
          <w:i w:val="0"/>
          <w:color w:val="263238"/>
          <w:sz w:val="21"/>
        </w:rPr>
        <w:t>¿Qué variables componen cada factor y de dónde sale cada dato: DNP, manual, Excel, otro sistema o captura del usuario?</w:t>
      </w:r>
    </w:p>
    <w:p>
      <w:pPr>
        <w:pStyle w:val="ListBullet"/>
        <w:spacing w:after="80" w:line="276" w:lineRule="auto"/>
      </w:pPr>
      <w:r>
        <w:rPr>
          <w:rFonts w:ascii="Calibri" w:hAnsi="Calibri"/>
          <w:b w:val="0"/>
          <w:i w:val="0"/>
          <w:color w:val="263238"/>
          <w:sz w:val="21"/>
        </w:rPr>
        <w:t>¿Cuál es la fórmula exacta para riesgo inherente, controles y riesgo residual?</w:t>
      </w:r>
    </w:p>
    <w:p>
      <w:pPr>
        <w:pStyle w:val="ListBullet"/>
        <w:spacing w:after="80" w:line="276" w:lineRule="auto"/>
      </w:pPr>
      <w:r>
        <w:rPr>
          <w:rFonts w:ascii="Calibri" w:hAnsi="Calibri"/>
          <w:b w:val="0"/>
          <w:i w:val="0"/>
          <w:color w:val="263238"/>
          <w:sz w:val="21"/>
        </w:rPr>
        <w:t>¿Qué niveles de riesgo existirán y qué colores o rangos tendrá el mapa de calor?</w:t>
      </w:r>
    </w:p>
    <w:p>
      <w:pPr>
        <w:pStyle w:val="ListBullet"/>
        <w:spacing w:after="80" w:line="276" w:lineRule="auto"/>
      </w:pPr>
      <w:r>
        <w:rPr>
          <w:rFonts w:ascii="Calibri" w:hAnsi="Calibri"/>
          <w:b w:val="0"/>
          <w:i w:val="0"/>
          <w:color w:val="263238"/>
          <w:sz w:val="21"/>
        </w:rPr>
        <w:t>¿Qué reportes son obligatorios para el primer entregable?</w:t>
      </w:r>
    </w:p>
    <w:p>
      <w:pPr>
        <w:pStyle w:val="ListBullet"/>
        <w:spacing w:after="80" w:line="276" w:lineRule="auto"/>
      </w:pPr>
      <w:r>
        <w:rPr>
          <w:rFonts w:ascii="Calibri" w:hAnsi="Calibri"/>
          <w:b w:val="0"/>
          <w:i w:val="0"/>
          <w:color w:val="263238"/>
          <w:sz w:val="21"/>
        </w:rPr>
        <w:t>¿Qué campos de calificación deben retornar a DNP y bajo qué permiso o proceso?</w:t>
      </w:r>
    </w:p>
    <w:p>
      <w:pPr>
        <w:pStyle w:val="ListBullet"/>
        <w:spacing w:after="80" w:line="276" w:lineRule="auto"/>
      </w:pPr>
      <w:r>
        <w:rPr>
          <w:rFonts w:ascii="Calibri" w:hAnsi="Calibri"/>
          <w:b w:val="0"/>
          <w:i w:val="0"/>
          <w:color w:val="263238"/>
          <w:sz w:val="21"/>
        </w:rPr>
        <w:t>¿Qué acciones requieren evidencia obligatoria, motivo de cambio o aprobación de supervisor?</w:t>
      </w:r>
    </w:p>
    <w:p>
      <w:pPr>
        <w:spacing w:before="320" w:after="160"/>
      </w:pPr>
      <w:r>
        <w:rPr>
          <w:rFonts w:ascii="Calibri" w:hAnsi="Calibri"/>
          <w:b/>
          <w:i w:val="0"/>
          <w:color w:val="1E6AA8"/>
          <w:sz w:val="32"/>
        </w:rPr>
        <w:t>9. Criterios de no inicio de código</w:t>
      </w:r>
    </w:p>
    <w:p>
      <w:pPr>
        <w:spacing w:before="0" w:after="120" w:line="264" w:lineRule="auto"/>
      </w:pPr>
      <w:r>
        <w:rPr>
          <w:rFonts w:ascii="Calibri" w:hAnsi="Calibri"/>
          <w:b w:val="0"/>
          <w:i w:val="0"/>
          <w:color w:val="263238"/>
          <w:sz w:val="22"/>
        </w:rPr>
        <w:t>No se recomienda iniciar desarrollo del Módulo 2 hasta contar con aprobación mínima de metodología y alcance. Programar sin esas definiciones aumenta el riesgo de rehacer base de datos, cálculos y pantallas.</w:t>
      </w:r>
    </w:p>
    <w:p>
      <w:pPr>
        <w:pStyle w:val="ListBullet"/>
        <w:spacing w:after="80" w:line="276" w:lineRule="auto"/>
      </w:pPr>
      <w:r>
        <w:rPr>
          <w:rFonts w:ascii="Calibri" w:hAnsi="Calibri"/>
          <w:b w:val="0"/>
          <w:i w:val="0"/>
          <w:color w:val="263238"/>
          <w:sz w:val="21"/>
        </w:rPr>
        <w:t>Metodología de cálculo no aprobada por Cumplimiento.</w:t>
      </w:r>
    </w:p>
    <w:p>
      <w:pPr>
        <w:pStyle w:val="ListBullet"/>
        <w:spacing w:after="80" w:line="276" w:lineRule="auto"/>
      </w:pPr>
      <w:r>
        <w:rPr>
          <w:rFonts w:ascii="Calibri" w:hAnsi="Calibri"/>
          <w:b w:val="0"/>
          <w:i w:val="0"/>
          <w:color w:val="263238"/>
          <w:sz w:val="21"/>
        </w:rPr>
        <w:t>Factores, criterios, escalas y rangos no definidos.</w:t>
      </w:r>
    </w:p>
    <w:p>
      <w:pPr>
        <w:pStyle w:val="ListBullet"/>
        <w:spacing w:after="80" w:line="276" w:lineRule="auto"/>
      </w:pPr>
      <w:r>
        <w:rPr>
          <w:rFonts w:ascii="Calibri" w:hAnsi="Calibri"/>
          <w:b w:val="0"/>
          <w:i w:val="0"/>
          <w:color w:val="263238"/>
          <w:sz w:val="21"/>
        </w:rPr>
        <w:t>Modelo de datos no revisado.</w:t>
      </w:r>
    </w:p>
    <w:p>
      <w:pPr>
        <w:pStyle w:val="ListBullet"/>
        <w:spacing w:after="80" w:line="276" w:lineRule="auto"/>
      </w:pPr>
      <w:r>
        <w:rPr>
          <w:rFonts w:ascii="Calibri" w:hAnsi="Calibri"/>
          <w:b w:val="0"/>
          <w:i w:val="0"/>
          <w:color w:val="263238"/>
          <w:sz w:val="21"/>
        </w:rPr>
        <w:t>Roles y permisos no definidos.</w:t>
      </w:r>
    </w:p>
    <w:p>
      <w:pPr>
        <w:pStyle w:val="ListBullet"/>
        <w:spacing w:after="80" w:line="276" w:lineRule="auto"/>
      </w:pPr>
      <w:r>
        <w:rPr>
          <w:rFonts w:ascii="Calibri" w:hAnsi="Calibri"/>
          <w:b w:val="0"/>
          <w:i w:val="0"/>
          <w:color w:val="263238"/>
          <w:sz w:val="21"/>
        </w:rPr>
        <w:t>Reportes mínimos no acordados.</w:t>
      </w:r>
    </w:p>
    <w:p>
      <w:pPr>
        <w:pStyle w:val="ListBullet"/>
        <w:spacing w:after="80" w:line="276" w:lineRule="auto"/>
      </w:pPr>
      <w:r>
        <w:rPr>
          <w:rFonts w:ascii="Calibri" w:hAnsi="Calibri"/>
          <w:b w:val="0"/>
          <w:i w:val="0"/>
          <w:color w:val="263238"/>
          <w:sz w:val="21"/>
        </w:rPr>
        <w:t>Integración con DNP no confirmada por GTIC.</w:t>
      </w:r>
    </w:p>
    <w:p>
      <w:pPr>
        <w:spacing w:before="320" w:after="160"/>
      </w:pPr>
      <w:r>
        <w:rPr>
          <w:rFonts w:ascii="Calibri" w:hAnsi="Calibri"/>
          <w:b/>
          <w:i w:val="0"/>
          <w:color w:val="1E6AA8"/>
          <w:sz w:val="32"/>
        </w:rPr>
        <w:t>10. Próximo paso recomendado</w:t>
      </w:r>
    </w:p>
    <w:p>
      <w:pPr>
        <w:spacing w:before="0" w:after="120" w:line="264" w:lineRule="auto"/>
      </w:pPr>
      <w:r>
        <w:rPr>
          <w:rFonts w:ascii="Calibri" w:hAnsi="Calibri"/>
          <w:b w:val="0"/>
          <w:i w:val="0"/>
          <w:color w:val="263238"/>
          <w:sz w:val="22"/>
        </w:rPr>
        <w:t>Con este consolidado ya ubicado en la carpeta oficial del Módulo 2, el siguiente trabajo debe ser el análisis formal del Módulo Matrices de Riesgos: levantamiento funcional completo, metodología de cálculo, diagramas de flujo, modelo de datos, pantallas, endpoints, scripts SQL incrementales y criterios de aceptación.</w:t>
      </w:r>
    </w:p>
    <w:sectPr w:rsidR="00FC693F" w:rsidRPr="0006063C" w:rsidSect="00034616">
      <w:headerReference w:type="default" r:id="rId9"/>
      <w:footerReference w:type="default" r:id="rId10"/>
      <w:pgSz w:w="12240" w:h="15840"/>
      <w:pgMar w:top="1181" w:right="1123" w:bottom="1080"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
      <w:rPr>
        <w:rFonts w:ascii="Calibri" w:hAnsi="Calibri"/>
        <w:b w:val="0"/>
        <w:i w:val="0"/>
        <w:color w:val="5F6B73"/>
        <w:sz w:val="17"/>
      </w:rPr>
      <w:t>RIESGO_LAVADO | Consolidado documental</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
      <w:rPr>
        <w:rFonts w:ascii="Calibri" w:hAnsi="Calibri"/>
        <w:b/>
        <w:i w:val="0"/>
        <w:color w:val="5F6B73"/>
        <w:sz w:val="18"/>
      </w:rPr>
      <w:t>Módulo 2 - Matrices de Riesgos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Consolidado Información ChatGPT - Módulo 2 Matrices de Riesgos</dc:title>
  <dc:subject>Insumo documental para iniciar análisis del Módulo 2</dc:subject>
  <dc:creator>Codex</dc:creator>
  <cp:keywords/>
  <dc:description>generated by python-docx</dc:description>
  <cp:lastModifiedBy/>
  <cp:revision>1</cp:revision>
  <dcterms:created xsi:type="dcterms:W3CDTF">2013-12-23T23:15:00Z</dcterms:created>
  <dcterms:modified xsi:type="dcterms:W3CDTF">2013-12-23T23:15:00Z</dcterms:modified>
  <cp:category/>
</cp:coreProperties>
</file>