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Aptos" w:hAnsi="Aptos" w:eastAsia="Aptos"/>
          <w:b/>
          <w:color w:val="173B7A"/>
          <w:sz w:val="28"/>
          <w:lang w:val="es-HN"/>
        </w:rPr>
        <w:t>INSTITUTO HONDUREÑO DE SEGURIDAD SOCIAL</w:t>
      </w:r>
    </w:p>
    <w:p>
      <w:pPr>
        <w:widowControl/>
        <w:jc w:val="center"/>
      </w:pPr>
      <w:r>
        <w:rPr>
          <w:rFonts w:ascii="Aptos" w:hAnsi="Aptos" w:eastAsia="Aptos"/>
          <w:b/>
          <w:color w:val="2F6FB2"/>
          <w:sz w:val="22"/>
          <w:lang w:val="es-HN"/>
        </w:rPr>
        <w:t>SISTEMA DE GESTIÓN DE RIESGOS DE LAVADO DE ACTIVOS</w:t>
        <w:br/>
        <w:t>Y FINANCIAMIENTO DEL TERRORISMO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220" w:type="dxa"/>
              <w:start w:w="250" w:type="dxa"/>
              <w:bottom w:w="220" w:type="dxa"/>
              <w:end w:w="25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44"/>
              </w:rPr>
              <w:t>CIERRE TÉCNICO DE LA FASE 12 Y ACTUALIZACIÓN 12.5</w:t>
              <w:br/>
              <w:t>Mejora ejecutiva UX/UI, reportería institucional, pruebas y cierre definitivo</w:t>
            </w:r>
          </w:p>
        </w:tc>
      </w:tr>
    </w:tbl>
    <w:p>
      <w:pPr>
        <w:widowControl/>
        <w:spacing w:before="360"/>
        <w:jc w:val="center"/>
      </w:pPr>
      <w:r>
        <w:rPr>
          <w:rFonts w:ascii="Aptos" w:hAnsi="Aptos" w:eastAsia="Aptos"/>
          <w:b/>
          <w:color w:val="1F8A5B"/>
          <w:sz w:val="28"/>
          <w:lang w:val="es-HN"/>
        </w:rPr>
        <w:t>MÓDULO 2 - MATRICES DE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8"/>
              </w:rPr>
              <w:t>Documento</w:t>
            </w:r>
          </w:p>
        </w:tc>
        <w:tc>
          <w:tcPr>
            <w:tcW w:type="dxa" w:w="70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Cierre Técnico Fase 12 y Actualización 12.5 - Versión Única para Aprobación</w:t>
            </w:r>
          </w:p>
        </w:tc>
      </w:tr>
      <w:tr>
        <w:tc>
          <w:tcPr>
            <w:tcW w:type="dxa" w:w="2448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8"/>
              </w:rPr>
              <w:t>Versión</w:t>
            </w:r>
          </w:p>
        </w:tc>
        <w:tc>
          <w:tcPr>
            <w:tcW w:type="dxa" w:w="70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1.1</w:t>
            </w:r>
          </w:p>
        </w:tc>
      </w:tr>
      <w:tr>
        <w:tc>
          <w:tcPr>
            <w:tcW w:type="dxa" w:w="2448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8"/>
              </w:rPr>
              <w:t>Fecha de emisión</w:t>
            </w:r>
          </w:p>
        </w:tc>
        <w:tc>
          <w:tcPr>
            <w:tcW w:type="dxa" w:w="70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22 de julio de 2026</w:t>
            </w:r>
          </w:p>
        </w:tc>
      </w:tr>
      <w:tr>
        <w:tc>
          <w:tcPr>
            <w:tcW w:type="dxa" w:w="2448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8"/>
              </w:rPr>
              <w:t>Rama validada</w:t>
            </w:r>
          </w:p>
        </w:tc>
        <w:tc>
          <w:tcPr>
            <w:tcW w:type="dxa" w:w="70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fase-12-mejora-ejecutiva-matrices</w:t>
            </w:r>
          </w:p>
        </w:tc>
      </w:tr>
      <w:tr>
        <w:tc>
          <w:tcPr>
            <w:tcW w:type="dxa" w:w="2448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8"/>
              </w:rPr>
              <w:t>Estado</w:t>
            </w:r>
          </w:p>
        </w:tc>
        <w:tc>
          <w:tcPr>
            <w:tcW w:type="dxa" w:w="70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F8A5B"/>
                <w:sz w:val="18"/>
              </w:rPr>
              <w:t>CIERRE TÉCNICO APROBADO - PENDIENTE APROBACIÓN FORMAL</w:t>
            </w:r>
          </w:p>
        </w:tc>
      </w:tr>
    </w:tbl>
    <w:p>
      <w:pPr>
        <w:widowControl/>
        <w:spacing w:before="440"/>
        <w:jc w:val="center"/>
      </w:pPr>
      <w:r>
        <w:rPr>
          <w:rFonts w:ascii="Aptos" w:hAnsi="Aptos" w:eastAsia="Aptos"/>
          <w:i/>
          <w:color w:val="667085"/>
          <w:sz w:val="18"/>
          <w:lang w:val="es-HN"/>
        </w:rPr>
        <w:t>Preparado para revisión y aprobación de Javier Mejía</w:t>
      </w:r>
    </w:p>
    <w:p>
      <w:pPr>
        <w:widowControl/>
      </w:pPr>
      <w:r>
        <w:rPr>
          <w:lang w:val="es-HN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CONTROL DEL DOCUMENTO Y APROBACIÓN</w:t>
              <w:br/>
              <w:t>Documento maestro de cierre técnico de la Fase 12 y actualización final 12.5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1. Control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66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4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Código documental</w:t>
            </w:r>
          </w:p>
        </w:tc>
        <w:tc>
          <w:tcPr>
            <w:tcW w:type="dxa" w:w="68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SGRLA-IHSS-MR-F12-CT-001</w:t>
            </w:r>
          </w:p>
        </w:tc>
      </w:tr>
      <w:tr>
        <w:tc>
          <w:tcPr>
            <w:tcW w:type="dxa" w:w="26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Nombre</w:t>
            </w:r>
          </w:p>
        </w:tc>
        <w:tc>
          <w:tcPr>
            <w:tcW w:type="dxa" w:w="684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Cierre Técnico Fase 12 y Actualización 12.5 - Matrices de Riesgos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Versión</w:t>
            </w:r>
          </w:p>
        </w:tc>
        <w:tc>
          <w:tcPr>
            <w:tcW w:type="dxa" w:w="68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1.1</w:t>
            </w:r>
          </w:p>
        </w:tc>
      </w:tr>
      <w:tr>
        <w:tc>
          <w:tcPr>
            <w:tcW w:type="dxa" w:w="26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Fecha</w:t>
            </w:r>
          </w:p>
        </w:tc>
        <w:tc>
          <w:tcPr>
            <w:tcW w:type="dxa" w:w="684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22/07/2026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Clasificación</w:t>
            </w:r>
          </w:p>
        </w:tc>
        <w:tc>
          <w:tcPr>
            <w:tcW w:type="dxa" w:w="68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Uso institucional</w:t>
            </w:r>
          </w:p>
        </w:tc>
      </w:tr>
      <w:tr>
        <w:tc>
          <w:tcPr>
            <w:tcW w:type="dxa" w:w="26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Responsable funcional</w:t>
            </w:r>
          </w:p>
        </w:tc>
        <w:tc>
          <w:tcPr>
            <w:tcW w:type="dxa" w:w="684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Javier Mejía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Repositorio</w:t>
            </w:r>
          </w:p>
        </w:tc>
        <w:tc>
          <w:tcPr>
            <w:tcW w:type="dxa" w:w="68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jmejia31/RIESGO_LAVADO</w:t>
            </w:r>
          </w:p>
        </w:tc>
      </w:tr>
      <w:tr>
        <w:tc>
          <w:tcPr>
            <w:tcW w:type="dxa" w:w="26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Pull Request</w:t>
            </w:r>
          </w:p>
        </w:tc>
        <w:tc>
          <w:tcPr>
            <w:tcW w:type="dxa" w:w="684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#2 - Fase 12.5: estandarización institucional y refinamiento final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Estado de integración</w:t>
            </w:r>
          </w:p>
        </w:tc>
        <w:tc>
          <w:tcPr>
            <w:tcW w:type="dxa" w:w="68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No fusionado a main; PR conservado en borrador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2. Decisión ejecutiva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0"/>
            <w:tcBorders>
              <w:top w:val="single" w:sz="10" w:color="1F8A5B"/>
              <w:left w:val="single" w:sz="18" w:color="1F8A5B"/>
              <w:bottom w:val="single" w:sz="10" w:color="1F8A5B"/>
              <w:right w:val="single" w:sz="10" w:color="1F8A5B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F8A5B"/>
                <w:sz w:val="20"/>
              </w:rPr>
              <w:t>RESULTADO TÉCNICO</w:t>
              <w:br/>
              <w:t>La Fase 12 y su actualización 12.5 se encuentran técnicamente completas. El código, la reportería PDF/XLSX, la ficha individual, las pruebas automatizadas, la evidencia visual y el Documento Maestro han sido validados; la aprobación formal y el merge a main permanecen pendientes.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3. Firmas de aprobación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B7A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389"/>
            <w:shd w:fill="173B7A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Nombre / firma</w:t>
            </w:r>
          </w:p>
        </w:tc>
        <w:tc>
          <w:tcPr>
            <w:tcW w:type="dxa" w:w="3389"/>
            <w:shd w:fill="173B7A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Responsable funcional</w:t>
            </w:r>
          </w:p>
        </w:tc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Javier Mejía</w:t>
            </w:r>
          </w:p>
        </w:tc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____ / ____ / 2026</w:t>
            </w:r>
          </w:p>
        </w:tc>
      </w:tr>
      <w:tr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Aprobación institucional</w:t>
            </w:r>
          </w:p>
        </w:tc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____________________________</w:t>
            </w:r>
          </w:p>
        </w:tc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____ / ____ / 2026</w:t>
            </w:r>
          </w:p>
        </w:tc>
      </w:tr>
      <w:tr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Aprobación técnica</w:t>
            </w:r>
          </w:p>
        </w:tc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____________________________</w:t>
            </w:r>
          </w:p>
        </w:tc>
        <w:tc>
          <w:tcPr>
            <w:tcW w:type="dxa" w:w="3389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  <w:t>____ / ____ /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RESUMEN EJECUTIVO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Alcance consolidado y decisión de cierre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4. Objetivo de la Fase 12</w:t>
      </w:r>
    </w:p>
    <w:p>
      <w:pPr>
        <w:widowControl/>
        <w:spacing w:after="100" w:line="259" w:lineRule="auto"/>
      </w:pPr>
      <w:r>
        <w:rPr>
          <w:rFonts w:ascii="Aptos" w:hAnsi="Aptos" w:eastAsia="Aptos"/>
          <w:color w:val="1F2937"/>
          <w:sz w:val="19"/>
          <w:lang w:val="es-HN"/>
        </w:rPr>
        <w:t>La Fase 12 tuvo como objetivo elevar el Módulo de Matrices de Riesgos a un nivel ejecutivo, coherente y controlado, fortaleciendo reglas funcionales, captura de criterios, dashboard, mapa de calor, reportería y pruebas integrales, sin alterar las restricciones institucionales previamente aprobadas.</w:t>
      </w: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5. Resultado consolidado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Se normalizaron los estados visibles y las transiciones operativas de las matrices.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Se consolidó la captura por tipo de sujeto, con validaciones de variables, criterios y rangos.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El dashboard muestra todas las matrices activas y todos los tipos de sujeto, incluyendo matrices aún sin evaluación.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El mapa de calor representa la transición entre nivel inherente y nivel residual con datos reales provenientes de Oracle y cálculo ejecutado exclusivamente en backend.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La reportería PDF y Excel utiliza los mismos filtros, totales y mapa de transición del dashboard.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Angular descarga exactamente el archivo generado por el backend; se eliminó la doble generación local.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La rama final quedó sin workflows ni scripts temporales de integración.</w:t>
      </w: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6. Estado por subfase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Subfase</w:t>
            </w:r>
          </w:p>
        </w:tc>
        <w:tc>
          <w:tcPr>
            <w:tcW w:type="dxa" w:w="266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44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46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93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12.1</w:t>
            </w:r>
          </w:p>
        </w:tc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Orden funcional y reglas</w:t>
            </w:r>
          </w:p>
        </w:tc>
        <w:tc>
          <w:tcPr>
            <w:tcW w:type="dxa" w:w="14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COMPLETADA</w:t>
            </w:r>
          </w:p>
        </w:tc>
        <w:tc>
          <w:tcPr>
            <w:tcW w:type="dxa" w:w="44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Estados, recálculo automático y políticas de operación.</w:t>
            </w:r>
          </w:p>
        </w:tc>
      </w:tr>
      <w:tr>
        <w:tc>
          <w:tcPr>
            <w:tcW w:type="dxa" w:w="93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12.2</w:t>
            </w:r>
          </w:p>
        </w:tc>
        <w:tc>
          <w:tcPr>
            <w:tcW w:type="dxa" w:w="26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Captura y criterios</w:t>
            </w:r>
          </w:p>
        </w:tc>
        <w:tc>
          <w:tcPr>
            <w:tcW w:type="dxa" w:w="1440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COMPLETADA</w:t>
            </w:r>
          </w:p>
        </w:tc>
        <w:tc>
          <w:tcPr>
            <w:tcW w:type="dxa" w:w="44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Variables, criterios, rangos, auditoría y controles.</w:t>
            </w:r>
          </w:p>
        </w:tc>
      </w:tr>
      <w:tr>
        <w:tc>
          <w:tcPr>
            <w:tcW w:type="dxa" w:w="93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12.3</w:t>
            </w:r>
          </w:p>
        </w:tc>
        <w:tc>
          <w:tcPr>
            <w:tcW w:type="dxa" w:w="26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y mapa de calor</w:t>
            </w:r>
          </w:p>
        </w:tc>
        <w:tc>
          <w:tcPr>
            <w:tcW w:type="dxa" w:w="14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COMPLETADA</w:t>
            </w:r>
          </w:p>
        </w:tc>
        <w:tc>
          <w:tcPr>
            <w:tcW w:type="dxa" w:w="44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Todos los tipos, matrices sin evaluar, mapa funcional y paleta institucional.</w:t>
            </w:r>
          </w:p>
        </w:tc>
      </w:tr>
      <w:tr>
        <w:tc>
          <w:tcPr>
            <w:tcW w:type="dxa" w:w="93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12.4</w:t>
            </w:r>
          </w:p>
        </w:tc>
        <w:tc>
          <w:tcPr>
            <w:tcW w:type="dxa" w:w="26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Reportería, pruebas y cierre</w:t>
            </w:r>
          </w:p>
        </w:tc>
        <w:tc>
          <w:tcPr>
            <w:tcW w:type="dxa" w:w="1440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COMPLETADA</w:t>
            </w:r>
          </w:p>
        </w:tc>
        <w:tc>
          <w:tcPr>
            <w:tcW w:type="dxa" w:w="446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Coherencia PDF/Excel, descarga backend y Quality Gates finales.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lang w:val="es-HN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RESULTADO FUNCIONAL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Dashboard ejecutivo, cobertura total y mapa de calor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7. Cobertura de matrices y tipos de sujeto</w:t>
      </w:r>
    </w:p>
    <w:p>
      <w:pPr>
        <w:widowControl/>
        <w:spacing w:after="100" w:line="259" w:lineRule="auto"/>
      </w:pPr>
      <w:r>
        <w:rPr>
          <w:rFonts w:ascii="Aptos" w:hAnsi="Aptos" w:eastAsia="Aptos"/>
          <w:color w:val="1F2937"/>
          <w:sz w:val="19"/>
          <w:lang w:val="es-HN"/>
        </w:rPr>
        <w:t>El dashboard y la reportería contemplan las matrices activas existentes para todos los tipos de sujeto habilitados. Las matrices sin resultado consolidado se mantienen visibles en los KPI y listados mediante el indicador “Sin evaluar”; no se ubican en una celda del mapa hasta contar con niveles inherente y residual.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896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Etiqueta funcional</w:t>
            </w:r>
          </w:p>
        </w:tc>
        <w:tc>
          <w:tcPr>
            <w:tcW w:type="dxa" w:w="1872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PROVEEDOR</w:t>
            </w:r>
          </w:p>
        </w:tc>
        <w:tc>
          <w:tcPr>
            <w:tcW w:type="dxa" w:w="489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Proveedor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20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CLIENTE_PATRONO</w:t>
            </w:r>
          </w:p>
        </w:tc>
        <w:tc>
          <w:tcPr>
            <w:tcW w:type="dxa" w:w="489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Cliente / Patrono</w:t>
            </w:r>
          </w:p>
        </w:tc>
        <w:tc>
          <w:tcPr>
            <w:tcW w:type="dxa" w:w="1872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EMPLEADO</w:t>
            </w:r>
          </w:p>
        </w:tc>
        <w:tc>
          <w:tcPr>
            <w:tcW w:type="dxa" w:w="489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Empleado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20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AREA</w:t>
            </w:r>
          </w:p>
        </w:tc>
        <w:tc>
          <w:tcPr>
            <w:tcW w:type="dxa" w:w="489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Área</w:t>
            </w:r>
          </w:p>
        </w:tc>
        <w:tc>
          <w:tcPr>
            <w:tcW w:type="dxa" w:w="1872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PROCESO</w:t>
            </w:r>
          </w:p>
        </w:tc>
        <w:tc>
          <w:tcPr>
            <w:tcW w:type="dxa" w:w="489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Proceso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20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CASO_POSITIVO</w:t>
            </w:r>
          </w:p>
        </w:tc>
        <w:tc>
          <w:tcPr>
            <w:tcW w:type="dxa" w:w="489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Caso positivo</w:t>
            </w:r>
          </w:p>
        </w:tc>
        <w:tc>
          <w:tcPr>
            <w:tcW w:type="dxa" w:w="1872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INSTITUCIONAL</w:t>
            </w:r>
          </w:p>
        </w:tc>
        <w:tc>
          <w:tcPr>
            <w:tcW w:type="dxa" w:w="489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Institucional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INCLUIDO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8. Aclaración sobre el resultado consolidado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Borders>
              <w:top w:val="single" w:sz="10" w:color="2F6FB2"/>
              <w:left w:val="single" w:sz="18" w:color="2F6FB2"/>
              <w:bottom w:val="single" w:sz="10" w:color="2F6FB2"/>
              <w:right w:val="single" w:sz="10" w:color="2F6FB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2F6FB2"/>
                <w:sz w:val="20"/>
              </w:rPr>
              <w:t>REGLA DE CONSOLIDACIÓN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MRR_TIPO_RESULTADO = 'INSTITUCIONAL' identifica el resultado consolidado general de una matriz. No restringe el tipo de sujeto a institucional. Mantener un único resultado consolidado vigente por matriz evita duplicar el conteo ejecutivo por cada resultado de factor.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lang w:val="es-HN"/>
        </w:rPr>
        <w:br w:type="page"/>
      </w: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9. Mapa de calor funcional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Eje vertical: nivel de riesgo inherente.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Eje horizontal: nivel de riesgo residual.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Cada matriz se contabiliza una sola vez mediante su resultado consolidado vigente.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Selección de celda: aplica filtros por nivel inherente y residual al dashboard y a la reportería.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Paleta aprobada: verde → amarillo → naranja → rojo, con incremento diagonal de severidad.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Los resultados por factor permanecen disponibles en el detalle y en la reportería técnica.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Inherente ↓ / Residual →</w:t>
            </w:r>
          </w:p>
        </w:tc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MUY BAJO</w:t>
            </w:r>
          </w:p>
        </w:tc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BAJO</w:t>
            </w:r>
          </w:p>
        </w:tc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MEDIO</w:t>
            </w:r>
          </w:p>
        </w:tc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ALTO</w:t>
            </w:r>
          </w:p>
        </w:tc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CRÍTICO</w:t>
            </w:r>
          </w:p>
        </w:tc>
      </w:tr>
      <w:tr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CRÍTICO</w:t>
            </w:r>
          </w:p>
        </w:tc>
        <w:tc>
          <w:tcPr>
            <w:tcW w:type="dxa" w:w="1694"/>
            <w:vAlign w:val="center"/>
            <w:shd w:fill="FEE2E2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ECACA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DBA74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B923C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EF4444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ALTO</w:t>
            </w:r>
          </w:p>
        </w:tc>
        <w:tc>
          <w:tcPr>
            <w:tcW w:type="dxa" w:w="1694"/>
            <w:vAlign w:val="center"/>
            <w:shd w:fill="FEF3C7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DE68A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CD34D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B923C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87171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MEDIO</w:t>
            </w:r>
          </w:p>
        </w:tc>
        <w:tc>
          <w:tcPr>
            <w:tcW w:type="dxa" w:w="1694"/>
            <w:vAlign w:val="center"/>
            <w:shd w:fill="DCFCE7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EF3C7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DE68A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BBF24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B923C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BAJO</w:t>
            </w:r>
          </w:p>
        </w:tc>
        <w:tc>
          <w:tcPr>
            <w:tcW w:type="dxa" w:w="1694"/>
            <w:vAlign w:val="center"/>
            <w:shd w:fill="BBF7D0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D9F99D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EF3C7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DE68A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CD34D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1694"/>
            <w:vAlign w:val="center"/>
            <w:shd w:fill="EAF2FB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B7A"/>
                <w:sz w:val="14"/>
              </w:rPr>
              <w:t>MUY BAJO</w:t>
            </w:r>
          </w:p>
        </w:tc>
        <w:tc>
          <w:tcPr>
            <w:tcW w:type="dxa" w:w="1694"/>
            <w:vAlign w:val="center"/>
            <w:shd w:fill="86EFAC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BBF7D0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DCFCE7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EF3C7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694"/>
            <w:vAlign w:val="center"/>
            <w:shd w:fill="FDE68A"/>
            <w:tcBorders>
              <w:top w:val="single" w:sz="5" w:color="C8D2DC"/>
              <w:left w:val="single" w:sz="5" w:color="C8D2DC"/>
              <w:bottom w:val="single" w:sz="5" w:color="C8D2DC"/>
              <w:right w:val="single" w:sz="5" w:color="C8D2D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</w:tbl>
    <w:p>
      <w:pPr>
        <w:widowControl/>
      </w:pPr>
      <w:r>
        <w:rPr>
          <w:lang w:val="es-HN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REPORTERÍA Y EXPORTACIONES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Coherencia entre dashboard, API, PDF y Excel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10. Corrección estructural de Fase 12.4</w:t>
      </w:r>
    </w:p>
    <w:p>
      <w:pPr>
        <w:widowControl/>
        <w:spacing w:after="100" w:line="259" w:lineRule="auto"/>
      </w:pPr>
      <w:r>
        <w:rPr>
          <w:rFonts w:ascii="Aptos" w:hAnsi="Aptos" w:eastAsia="Aptos"/>
          <w:color w:val="1F2937"/>
          <w:sz w:val="19"/>
          <w:lang w:val="es-HN"/>
        </w:rPr>
        <w:t>Antes del ajuste, el backend generaba y auditaba un archivo filtrado, pero Angular descartaba el blob recibido y construía un archivo local distinto. Esta doble generación fue eliminada. La interfaz ahora descarga exactamente el archivo producido por el API, preservando filtros, contenido, nomenclatura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2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288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590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7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Usuario define filtros</w:t>
            </w:r>
          </w:p>
        </w:tc>
        <w:tc>
          <w:tcPr>
            <w:tcW w:type="dxa" w:w="590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Buscar, estado, sujeto, fechas, niveles, versión y responsable.</w:t>
            </w:r>
          </w:p>
        </w:tc>
      </w:tr>
      <w:tr>
        <w:tc>
          <w:tcPr>
            <w:tcW w:type="dxa" w:w="7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2</w:t>
            </w:r>
          </w:p>
        </w:tc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Angular envía solicitud</w:t>
            </w:r>
          </w:p>
        </w:tc>
        <w:tc>
          <w:tcPr>
            <w:tcW w:type="dxa" w:w="590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POST /api/matrices-riesgos/reportes/exportar con el formato solicitado.</w:t>
            </w:r>
          </w:p>
        </w:tc>
      </w:tr>
      <w:tr>
        <w:tc>
          <w:tcPr>
            <w:tcW w:type="dxa" w:w="7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Backend obtiene reporte</w:t>
            </w:r>
          </w:p>
        </w:tc>
        <w:tc>
          <w:tcPr>
            <w:tcW w:type="dxa" w:w="590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Consulta Oracle con los mismos filtros del dashboard.</w:t>
            </w:r>
          </w:p>
        </w:tc>
      </w:tr>
      <w:tr>
        <w:tc>
          <w:tcPr>
            <w:tcW w:type="dxa" w:w="7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4</w:t>
            </w:r>
          </w:p>
        </w:tc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Backend construye archivo</w:t>
            </w:r>
          </w:p>
        </w:tc>
        <w:tc>
          <w:tcPr>
            <w:tcW w:type="dxa" w:w="590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Genera PDF o Excel con resumen, distribuciones, mapa y listados.</w:t>
            </w:r>
          </w:p>
        </w:tc>
      </w:tr>
      <w:tr>
        <w:tc>
          <w:tcPr>
            <w:tcW w:type="dxa" w:w="7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Auditoría registra exportación</w:t>
            </w:r>
          </w:p>
        </w:tc>
        <w:tc>
          <w:tcPr>
            <w:tcW w:type="dxa" w:w="590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Formato, usuario, correo, IP, fecha y filtros.</w:t>
            </w:r>
          </w:p>
        </w:tc>
      </w:tr>
      <w:tr>
        <w:tc>
          <w:tcPr>
            <w:tcW w:type="dxa" w:w="7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6</w:t>
            </w:r>
          </w:p>
        </w:tc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Angular descarga el blob</w:t>
            </w:r>
          </w:p>
        </w:tc>
        <w:tc>
          <w:tcPr>
            <w:tcW w:type="dxa" w:w="590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No recalcula ni reconstruye el contenido.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11. Contenido alineado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74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60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Salidas</w:t>
            </w:r>
          </w:p>
        </w:tc>
        <w:tc>
          <w:tcPr>
            <w:tcW w:type="dxa" w:w="172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Filtros aplicados</w:t>
            </w:r>
          </w:p>
        </w:tc>
        <w:tc>
          <w:tcPr>
            <w:tcW w:type="dxa" w:w="36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PDF / Excel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Total de matrices</w:t>
            </w:r>
          </w:p>
        </w:tc>
        <w:tc>
          <w:tcPr>
            <w:tcW w:type="dxa" w:w="360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Matrices evaluadas</w:t>
            </w:r>
          </w:p>
        </w:tc>
        <w:tc>
          <w:tcPr>
            <w:tcW w:type="dxa" w:w="36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Matrices sin evaluar</w:t>
            </w:r>
          </w:p>
        </w:tc>
        <w:tc>
          <w:tcPr>
            <w:tcW w:type="dxa" w:w="360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Distribución por estado</w:t>
            </w:r>
          </w:p>
        </w:tc>
        <w:tc>
          <w:tcPr>
            <w:tcW w:type="dxa" w:w="36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Distribución por sujeto</w:t>
            </w:r>
          </w:p>
        </w:tc>
        <w:tc>
          <w:tcPr>
            <w:tcW w:type="dxa" w:w="360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Excel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Mapa inherente y residual</w:t>
            </w:r>
          </w:p>
        </w:tc>
        <w:tc>
          <w:tcPr>
            <w:tcW w:type="dxa" w:w="36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PDF / Excel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Mapa de transición inherente → residual</w:t>
            </w:r>
          </w:p>
        </w:tc>
        <w:tc>
          <w:tcPr>
            <w:tcW w:type="dxa" w:w="360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Matrices filtradas y críticas</w:t>
            </w:r>
          </w:p>
        </w:tc>
        <w:tc>
          <w:tcPr>
            <w:tcW w:type="dxa" w:w="36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  <w:tr>
        <w:tc>
          <w:tcPr>
            <w:tcW w:type="dxa" w:w="3744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Planes de acción</w:t>
            </w:r>
          </w:p>
        </w:tc>
        <w:tc>
          <w:tcPr>
            <w:tcW w:type="dxa" w:w="360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Dashboard / PDF / Excel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ALINEADO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PRUEBAS INTEGRALES Y QUALITY GATES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Resultados automatizados de la rama final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12. Resultado de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376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88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Aprobadas / resultado</w:t>
            </w:r>
          </w:p>
        </w:tc>
        <w:tc>
          <w:tcPr>
            <w:tcW w:type="dxa" w:w="1152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Fallidas</w:t>
            </w:r>
          </w:p>
        </w:tc>
        <w:tc>
          <w:tcPr>
            <w:tcW w:type="dxa" w:w="108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Omitidas</w:t>
            </w:r>
          </w:p>
        </w:tc>
        <w:tc>
          <w:tcPr>
            <w:tcW w:type="dxa" w:w="172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Backend .NET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96</w:t>
            </w:r>
          </w:p>
        </w:tc>
        <w:tc>
          <w:tcPr>
            <w:tcW w:type="dxa" w:w="11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APROBADO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  <w:tr>
        <w:tc>
          <w:tcPr>
            <w:tcW w:type="dxa" w:w="237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Frontend unitarias</w:t>
            </w:r>
          </w:p>
        </w:tc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156</w:t>
            </w:r>
          </w:p>
        </w:tc>
        <w:tc>
          <w:tcPr>
            <w:tcW w:type="dxa" w:w="115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0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—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APROBADO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Archivos de prueba frontend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15</w:t>
            </w:r>
          </w:p>
        </w:tc>
        <w:tc>
          <w:tcPr>
            <w:tcW w:type="dxa" w:w="11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APROBADO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  <w:tr>
        <w:tc>
          <w:tcPr>
            <w:tcW w:type="dxa" w:w="237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E2E Playwright</w:t>
            </w:r>
          </w:p>
        </w:tc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7</w:t>
            </w:r>
          </w:p>
        </w:tc>
        <w:tc>
          <w:tcPr>
            <w:tcW w:type="dxa" w:w="115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0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—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APROBADO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Build Angular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Correcto</w:t>
            </w:r>
          </w:p>
        </w:tc>
        <w:tc>
          <w:tcPr>
            <w:tcW w:type="dxa" w:w="11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APROBADO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  <w:tr>
        <w:tc>
          <w:tcPr>
            <w:tcW w:type="dxa" w:w="237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Quality Gates finales</w:t>
            </w:r>
          </w:p>
        </w:tc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Ejecución 29955226359</w:t>
            </w:r>
          </w:p>
        </w:tc>
        <w:tc>
          <w:tcPr>
            <w:tcW w:type="dxa" w:w="115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0</w:t>
            </w:r>
          </w:p>
        </w:tc>
        <w:tc>
          <w:tcPr>
            <w:tcW w:type="dxa" w:w="10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—</w:t>
            </w:r>
          </w:p>
        </w:tc>
        <w:tc>
          <w:tcPr>
            <w:tcW w:type="dxa" w:w="1728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  <w:t>APROBADO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13. Cobertura registrada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16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016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Backend</w:t>
            </w:r>
          </w:p>
        </w:tc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Líneas</w:t>
            </w:r>
          </w:p>
        </w:tc>
        <w:tc>
          <w:tcPr>
            <w:tcW w:type="dxa" w:w="20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20.56%</w:t>
            </w:r>
          </w:p>
        </w:tc>
      </w:tr>
      <w:tr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Backend</w:t>
            </w:r>
          </w:p>
        </w:tc>
        <w:tc>
          <w:tcPr>
            <w:tcW w:type="dxa" w:w="316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Ramas</w:t>
            </w:r>
          </w:p>
        </w:tc>
        <w:tc>
          <w:tcPr>
            <w:tcW w:type="dxa" w:w="201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20.86%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Frontend</w:t>
            </w:r>
          </w:p>
        </w:tc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Sentencias</w:t>
            </w:r>
          </w:p>
        </w:tc>
        <w:tc>
          <w:tcPr>
            <w:tcW w:type="dxa" w:w="20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36.59%</w:t>
            </w:r>
          </w:p>
        </w:tc>
      </w:tr>
      <w:tr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Frontend</w:t>
            </w:r>
          </w:p>
        </w:tc>
        <w:tc>
          <w:tcPr>
            <w:tcW w:type="dxa" w:w="316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Ramas</w:t>
            </w:r>
          </w:p>
        </w:tc>
        <w:tc>
          <w:tcPr>
            <w:tcW w:type="dxa" w:w="201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30.24%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Frontend</w:t>
            </w:r>
          </w:p>
        </w:tc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Funciones</w:t>
            </w:r>
          </w:p>
        </w:tc>
        <w:tc>
          <w:tcPr>
            <w:tcW w:type="dxa" w:w="20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33.68%</w:t>
            </w:r>
          </w:p>
        </w:tc>
      </w:tr>
      <w:tr>
        <w:tc>
          <w:tcPr>
            <w:tcW w:type="dxa" w:w="28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Frontend</w:t>
            </w:r>
          </w:p>
        </w:tc>
        <w:tc>
          <w:tcPr>
            <w:tcW w:type="dxa" w:w="316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Líneas</w:t>
            </w:r>
          </w:p>
        </w:tc>
        <w:tc>
          <w:tcPr>
            <w:tcW w:type="dxa" w:w="2016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37.06%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Borders>
              <w:top w:val="single" w:sz="10" w:color="D97706"/>
              <w:left w:val="single" w:sz="18" w:color="D97706"/>
              <w:bottom w:val="single" w:sz="10" w:color="D97706"/>
              <w:right w:val="single" w:sz="10" w:color="D9770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D97706"/>
                <w:sz w:val="20"/>
              </w:rPr>
              <w:t>INTERPRETACIÓN DE COBERTURA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Los porcentajes se registran como línea base objetiva de cobertura. El cierre técnico se sustenta en la aprobación de las pruebas funcionales incorporadas, el build, los escenarios E2E y los Quality Gates. El incremento de cobertura global puede continuar como mejora transversal controlada, sin reabrir la Fase 12.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lang w:val="es-HN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CONTROLES, RESTRICCIONES Y NO IMPACTO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Salvaguardas institucionales preservadas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14. Restricciones verificadas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68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Condición verificada</w:t>
            </w:r>
          </w:p>
        </w:tc>
        <w:tc>
          <w:tcPr>
            <w:tcW w:type="dxa" w:w="158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DNP</w:t>
            </w:r>
          </w:p>
        </w:tc>
        <w:tc>
          <w:tcPr>
            <w:tcW w:type="dxa" w:w="46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Sin modificaciones</w:t>
            </w:r>
          </w:p>
        </w:tc>
        <w:tc>
          <w:tcPr>
            <w:tcW w:type="dxa" w:w="15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  <w:tr>
        <w:tc>
          <w:tcPr>
            <w:tcW w:type="dxa" w:w="316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CONTROL_ALMACEN.PROVEEDOR</w:t>
            </w:r>
          </w:p>
        </w:tc>
        <w:tc>
          <w:tcPr>
            <w:tcW w:type="dxa" w:w="46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Sin modificaciones</w:t>
            </w:r>
          </w:p>
        </w:tc>
        <w:tc>
          <w:tcPr>
            <w:tcW w:type="dxa" w:w="158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Monitoreo de Listas &lt;-&gt; Matrices</w:t>
            </w:r>
          </w:p>
        </w:tc>
        <w:tc>
          <w:tcPr>
            <w:tcW w:type="dxa" w:w="46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Sin integración nueva</w:t>
            </w:r>
          </w:p>
        </w:tc>
        <w:tc>
          <w:tcPr>
            <w:tcW w:type="dxa" w:w="15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  <w:tr>
        <w:tc>
          <w:tcPr>
            <w:tcW w:type="dxa" w:w="316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Cálculo de riesgo</w:t>
            </w:r>
          </w:p>
        </w:tc>
        <w:tc>
          <w:tcPr>
            <w:tcW w:type="dxa" w:w="46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Exclusivamente en backend</w:t>
            </w:r>
          </w:p>
        </w:tc>
        <w:tc>
          <w:tcPr>
            <w:tcW w:type="dxa" w:w="158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Datos del dashboard y mapa</w:t>
            </w:r>
          </w:p>
        </w:tc>
        <w:tc>
          <w:tcPr>
            <w:tcW w:type="dxa" w:w="46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Sin datos quemados</w:t>
            </w:r>
          </w:p>
        </w:tc>
        <w:tc>
          <w:tcPr>
            <w:tcW w:type="dxa" w:w="15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  <w:tr>
        <w:tc>
          <w:tcPr>
            <w:tcW w:type="dxa" w:w="316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Auditoría</w:t>
            </w:r>
          </w:p>
        </w:tc>
        <w:tc>
          <w:tcPr>
            <w:tcW w:type="dxa" w:w="468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Exportaciones y operaciones sensibles registradas</w:t>
            </w:r>
          </w:p>
        </w:tc>
        <w:tc>
          <w:tcPr>
            <w:tcW w:type="dxa" w:w="158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main</w:t>
            </w:r>
          </w:p>
        </w:tc>
        <w:tc>
          <w:tcPr>
            <w:tcW w:type="dxa" w:w="46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Sin fusión durante el desarrollo</w:t>
            </w:r>
          </w:p>
        </w:tc>
        <w:tc>
          <w:tcPr>
            <w:tcW w:type="dxa" w:w="15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CUMPLIDO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15. Archivos temporales y limpieza</w:t>
      </w:r>
    </w:p>
    <w:p>
      <w:pPr>
        <w:widowControl/>
        <w:spacing w:after="100" w:line="259" w:lineRule="auto"/>
      </w:pPr>
      <w:r>
        <w:rPr>
          <w:rFonts w:ascii="Aptos" w:hAnsi="Aptos" w:eastAsia="Aptos"/>
          <w:color w:val="1F2937"/>
          <w:sz w:val="19"/>
          <w:lang w:val="es-HN"/>
        </w:rPr>
        <w:t>Los workflows de integración y scripts auxiliares utilizados para aplicar y validar las Fases 12.4 y 12.5 fueron retirados antes de publicar los commits productivos. El PR principal contiene únicamente código productivo, pruebas, documentación y evidencia funcional.</w:t>
      </w: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16. Observaciones no bloqueantes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La cobertura global puede incrementarse en una iniciativa transversal posterior, sin alterar el cierre funcional aprobado.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Las pruebas de rendimiento con mayor volumen y red institucional pueden ejecutarse como validación operativa preproducción.</w:t>
      </w:r>
    </w:p>
    <w:p>
      <w:pPr>
        <w:widowControl/>
        <w:spacing w:after="60"/>
        <w:ind w:left="317" w:hanging="230"/>
      </w:pPr>
      <w:r>
        <w:rPr>
          <w:rFonts w:ascii="Aptos" w:hAnsi="Aptos" w:eastAsia="Aptos"/>
          <w:b/>
          <w:color w:val="1F8A5B"/>
          <w:sz w:val="19"/>
          <w:lang w:val="es-HN"/>
        </w:rPr>
        <w:t xml:space="preserve">• </w:t>
      </w:r>
      <w:r>
        <w:rPr>
          <w:rFonts w:ascii="Aptos" w:hAnsi="Aptos" w:eastAsia="Aptos"/>
          <w:color w:val="1F2937"/>
          <w:sz w:val="19"/>
          <w:lang w:val="es-HN"/>
        </w:rPr>
        <w:t>La integración a main debe realizarse únicamente después de la aprobación formal de Javier Mejía y de confirmar nuevamente la condición mergeable del PR #2.</w:t>
      </w:r>
    </w:p>
    <w:p>
      <w:pPr>
        <w:widowControl/>
      </w:pPr>
      <w:r>
        <w:rPr>
          <w:lang w:val="es-HN"/>
        </w:rPr>
        <w:br w:type="page"/>
      </w: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17. Trazabilidad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3672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Identificador</w:t>
            </w:r>
          </w:p>
        </w:tc>
        <w:tc>
          <w:tcPr>
            <w:tcW w:type="dxa" w:w="388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Finalidad / estado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Estándar institucional 12.5.1</w:t>
            </w:r>
          </w:p>
        </w:tc>
        <w:tc>
          <w:tcPr>
            <w:tcW w:type="dxa" w:w="36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526dbb6c70739531a465a2a752dc60ff88ef910f</w:t>
            </w:r>
          </w:p>
        </w:tc>
        <w:tc>
          <w:tcPr>
            <w:tcW w:type="dxa" w:w="38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Inventario y estándar compartido.</w:t>
            </w:r>
          </w:p>
        </w:tc>
      </w:tr>
      <w:tr>
        <w:tc>
          <w:tcPr>
            <w:tcW w:type="dxa" w:w="25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Normalización Monitoreo 12.5.2</w:t>
            </w:r>
          </w:p>
        </w:tc>
        <w:tc>
          <w:tcPr>
            <w:tcW w:type="dxa" w:w="367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c17a7812ef1bdc7e895c10a3fc1ab1584398a7cc</w:t>
            </w:r>
          </w:p>
        </w:tc>
        <w:tc>
          <w:tcPr>
            <w:tcW w:type="dxa" w:w="38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PDF/XLSX institucionales en Monitoreo.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Reportería Matrices 12.5.3</w:t>
            </w:r>
          </w:p>
        </w:tc>
        <w:tc>
          <w:tcPr>
            <w:tcW w:type="dxa" w:w="36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42200b08a0c3a29669b446feddcffccc02d9831c</w:t>
            </w:r>
          </w:p>
        </w:tc>
        <w:tc>
          <w:tcPr>
            <w:tcW w:type="dxa" w:w="38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PDF, ficha y XLSX generados en backend.</w:t>
            </w:r>
          </w:p>
        </w:tc>
      </w:tr>
      <w:tr>
        <w:tc>
          <w:tcPr>
            <w:tcW w:type="dxa" w:w="25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Refinamiento 12.5.4</w:t>
            </w:r>
          </w:p>
        </w:tc>
        <w:tc>
          <w:tcPr>
            <w:tcW w:type="dxa" w:w="367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0bdc15193a795046bd63d4a685f856f902e21337</w:t>
            </w:r>
          </w:p>
        </w:tc>
        <w:tc>
          <w:tcPr>
            <w:tcW w:type="dxa" w:w="38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UX, accesibilidad y retiro seguro de /recalcular.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Cierre técnico 12.5.5</w:t>
            </w:r>
          </w:p>
        </w:tc>
        <w:tc>
          <w:tcPr>
            <w:tcW w:type="dxa" w:w="36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40bee949495785167f678e41ab929fba479b7814</w:t>
            </w:r>
          </w:p>
        </w:tc>
        <w:tc>
          <w:tcPr>
            <w:tcW w:type="dxa" w:w="38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Archivos reales, Documento Maestro y evidencia.</w:t>
            </w:r>
          </w:p>
        </w:tc>
      </w:tr>
      <w:tr>
        <w:tc>
          <w:tcPr>
            <w:tcW w:type="dxa" w:w="25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Ejecución controlada 12.5.5</w:t>
            </w:r>
          </w:p>
        </w:tc>
        <w:tc>
          <w:tcPr>
            <w:tcW w:type="dxa" w:w="367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29955226359</w:t>
            </w:r>
          </w:p>
        </w:tc>
        <w:tc>
          <w:tcPr>
            <w:tcW w:type="dxa" w:w="38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Quality Gates, build y render aprobados.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Evidencia final</w:t>
            </w:r>
          </w:p>
        </w:tc>
        <w:tc>
          <w:tcPr>
            <w:tcW w:type="dxa" w:w="36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Evidencia_Fase_12_5_5/fase12_5_5_cierre_definitivo.json</w:t>
            </w:r>
          </w:p>
        </w:tc>
        <w:tc>
          <w:tcPr>
            <w:tcW w:type="dxa" w:w="38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Métricas, checksums y limitación Oracle.</w:t>
            </w:r>
          </w:p>
        </w:tc>
      </w:tr>
      <w:tr>
        <w:tc>
          <w:tcPr>
            <w:tcW w:type="dxa" w:w="25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Documento Maestro</w:t>
            </w:r>
          </w:p>
        </w:tc>
        <w:tc>
          <w:tcPr>
            <w:tcW w:type="dxa" w:w="367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Cierre_Tecnico_Fase_12_Matrices_Riesgos_SGRLA_IHSS.docx</w:t>
            </w:r>
          </w:p>
        </w:tc>
        <w:tc>
          <w:tcPr>
            <w:tcW w:type="dxa" w:w="38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Versión 1.1 con actualización 12.5.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PR principal</w:t>
            </w:r>
          </w:p>
        </w:tc>
        <w:tc>
          <w:tcPr>
            <w:tcW w:type="dxa" w:w="36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#2</w:t>
            </w:r>
          </w:p>
        </w:tc>
        <w:tc>
          <w:tcPr>
            <w:tcW w:type="dxa" w:w="38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Abierto, en borrador y sin merge a main.</w:t>
            </w:r>
          </w:p>
        </w:tc>
      </w:tr>
      <w:tr>
        <w:tc>
          <w:tcPr>
            <w:tcW w:type="dxa" w:w="2520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PR técnicos temporales</w:t>
            </w:r>
          </w:p>
        </w:tc>
        <w:tc>
          <w:tcPr>
            <w:tcW w:type="dxa" w:w="3672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#12, #13 y #14</w:t>
            </w:r>
          </w:p>
        </w:tc>
        <w:tc>
          <w:tcPr>
            <w:tcW w:type="dxa" w:w="38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5"/>
              </w:rPr>
              <w:t>Ejecución, control visual y maquetación final; cerrados sin merge a main.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lang w:val="es-HN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CIERRE Y RECOMENDACIÓN FORMAL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Decisión pendiente del responsable funcional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18. Criterios de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488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944"/>
            <w:shd w:fill="173B7A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74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Alcance de Fase 12 y actualización 12.5 implementado</w:t>
            </w:r>
          </w:p>
        </w:tc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Dashboard y mapa con datos reales</w:t>
            </w:r>
          </w:p>
        </w:tc>
        <w:tc>
          <w:tcPr>
            <w:tcW w:type="dxa" w:w="194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Todos los tipos de sujeto visibles</w:t>
            </w:r>
          </w:p>
        </w:tc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Matrices sin evaluación consideradas</w:t>
            </w:r>
          </w:p>
        </w:tc>
        <w:tc>
          <w:tcPr>
            <w:tcW w:type="dxa" w:w="194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PDF y Excel coherentes con filtros</w:t>
            </w:r>
          </w:p>
        </w:tc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Descarga exacta del archivo backend</w:t>
            </w:r>
          </w:p>
        </w:tc>
        <w:tc>
          <w:tcPr>
            <w:tcW w:type="dxa" w:w="194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Pruebas backend/frontend/E2E aprobadas</w:t>
            </w:r>
          </w:p>
        </w:tc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Build Angular aprobado</w:t>
            </w:r>
          </w:p>
        </w:tc>
        <w:tc>
          <w:tcPr>
            <w:tcW w:type="dxa" w:w="194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Quality Gates oficiales aprobados</w:t>
            </w:r>
          </w:p>
        </w:tc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Restricciones institucionales respetadas</w:t>
            </w:r>
          </w:p>
        </w:tc>
        <w:tc>
          <w:tcPr>
            <w:tcW w:type="dxa" w:w="1944"/>
            <w:shd w:fill="1F8A5B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Rama limpia de auxiliares temporales</w:t>
            </w:r>
          </w:p>
        </w:tc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8A5B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SÍ</w:t>
            </w:r>
          </w:p>
        </w:tc>
      </w:tr>
      <w:tr>
        <w:tc>
          <w:tcPr>
            <w:tcW w:type="dxa" w:w="7488"/>
            <w:shd w:fill="FAFB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Fusión a main realizada</w:t>
            </w:r>
          </w:p>
        </w:tc>
        <w:tc>
          <w:tcPr>
            <w:tcW w:type="dxa" w:w="1944"/>
            <w:shd w:fill="D9770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7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NO; PENDIENTE APROBACIÓN FORMAL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19. Recomendación técnica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0"/>
            <w:tcBorders>
              <w:top w:val="single" w:sz="10" w:color="1F8A5B"/>
              <w:left w:val="single" w:sz="18" w:color="1F8A5B"/>
              <w:bottom w:val="single" w:sz="10" w:color="1F8A5B"/>
              <w:right w:val="single" w:sz="10" w:color="1F8A5B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F8A5B"/>
                <w:sz w:val="20"/>
              </w:rPr>
              <w:t>RECOMENDACIÓN DE APROBACIÓN</w:t>
              <w:br/>
              <w:t>Aprobar formalmente la Fase 12 y su actualización 12.5 del Módulo Matrices de Riesgos. Como acción posterior e independiente, autorizar la integración del PR #2 a main únicamente después de verificar nuevamente sus controles.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Aptos" w:hAnsi="Aptos" w:eastAsia="Aptos"/>
          <w:b/>
          <w:color w:val="173B7A"/>
          <w:sz w:val="34"/>
          <w:lang w:val="es-HN"/>
        </w:rPr>
        <w:t>20. Declaración de cierre</w:t>
      </w:r>
    </w:p>
    <w:p>
      <w:pPr>
        <w:widowControl/>
        <w:spacing w:after="100" w:line="259" w:lineRule="auto"/>
      </w:pPr>
      <w:r>
        <w:rPr>
          <w:rFonts w:ascii="Aptos" w:hAnsi="Aptos" w:eastAsia="Aptos"/>
          <w:color w:val="1F2937"/>
          <w:sz w:val="19"/>
          <w:lang w:val="es-HN"/>
        </w:rPr>
        <w:t>Con la evidencia técnica disponible, la Fase 12 y su actualización 12.5 quedan declaradas técnicamente completadas. Esta declaración no equivale a una aprobación institucional ni autoriza por sí sola la fusión a main. La aprobación formal corresponde a Javier Mejía y a las instancias institucionales que apliquen.</w:t>
      </w:r>
    </w:p>
    <w:p>
      <w:pPr>
        <w:widowControl/>
      </w:pPr>
      <w:r>
        <w:rPr>
          <w:lang w:val="es-HN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B7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6"/>
              </w:rPr>
              <w:t>APROBACIÓN FORMAL</w:t>
            </w:r>
          </w:p>
          <w:p>
            <w:r>
              <w:rPr>
                <w:rFonts w:ascii="Aptos" w:hAnsi="Aptos" w:eastAsia="Aptos"/>
                <w:color w:val="DCE8F6"/>
                <w:sz w:val="17"/>
              </w:rPr>
              <w:t>Registro de decisión del responsable funcional</w:t>
            </w:r>
          </w:p>
        </w:tc>
      </w:tr>
    </w:tbl>
    <w:p>
      <w:pPr>
        <w:widowControl/>
        <w:spacing w:after="0"/>
      </w:pPr>
    </w:p>
    <w:p>
      <w:pPr>
        <w:widowControl/>
        <w:spacing w:after="100" w:line="259" w:lineRule="auto"/>
      </w:pPr>
      <w:r>
        <w:rPr>
          <w:rFonts w:ascii="Aptos" w:hAnsi="Aptos" w:eastAsia="Aptos"/>
          <w:color w:val="1F2937"/>
          <w:sz w:val="19"/>
          <w:lang w:val="es-HN"/>
        </w:rPr>
        <w:t>Complete esta sección para autorizar o rechazar el cierre formal de la Fase 12 y su actualización 12.5. La aprobación constituye el requisito previo para integrar el PR #2 a main.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7"/>
              </w:rPr>
              <w:t>Decisión</w:t>
            </w:r>
          </w:p>
        </w:tc>
        <w:tc>
          <w:tcPr>
            <w:tcW w:type="dxa" w:w="5083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color w:val="1F2937"/>
                <w:sz w:val="17"/>
              </w:rPr>
              <w:t>☐ APROBADA   ☐ APROBADA CON OBSERVACIONES   ☐ NO APROBADA</w:t>
            </w:r>
          </w:p>
        </w:tc>
      </w:tr>
      <w:tr>
        <w:tc>
          <w:tcPr>
            <w:tcW w:type="dxa" w:w="5083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7"/>
              </w:rPr>
              <w:t>Observaciones</w:t>
            </w:r>
          </w:p>
        </w:tc>
        <w:tc>
          <w:tcPr>
            <w:tcW w:type="dxa" w:w="5083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40"/>
            </w:pPr>
            <w:r>
              <w:rPr>
                <w:rFonts w:ascii="Aptos" w:hAnsi="Aptos" w:eastAsia="Aptos"/>
                <w:color w:val="1F2937"/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083"/>
            <w:shd w:fill="EAF2FB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73B7A"/>
                <w:sz w:val="17"/>
              </w:rPr>
              <w:t>Firma y fecha</w:t>
            </w:r>
          </w:p>
        </w:tc>
        <w:tc>
          <w:tcPr>
            <w:tcW w:type="dxa" w:w="5083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40"/>
            </w:pPr>
            <w:r>
              <w:rPr>
                <w:rFonts w:ascii="Aptos" w:hAnsi="Aptos" w:eastAsia="Aptos"/>
                <w:color w:val="1F2937"/>
                <w:sz w:val="17"/>
              </w:rPr>
              <w:t>Javier Mejía: ________________________________      Fecha: ____ / ____ / 2026</w:t>
            </w:r>
          </w:p>
        </w:tc>
      </w:tr>
    </w:tbl>
    <w:p>
      <w:pPr>
        <w:widowControl/>
        <w:spacing w:before="280"/>
        <w:jc w:val="center"/>
      </w:pPr>
      <w:r>
        <w:rPr>
          <w:rFonts w:ascii="Aptos" w:hAnsi="Aptos" w:eastAsia="Aptos"/>
          <w:b/>
          <w:color w:val="173B7A"/>
          <w:sz w:val="18"/>
          <w:lang w:val="es-HN"/>
        </w:rPr>
        <w:t>ANEXO DE ACTUALIZACIÓN FINAL DE LA FASE 12.5 A CONTINUACIÓN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23B63"/>
          <w:sz w:val="36"/>
        </w:rPr>
        <w:t>ACTUALIZACIÓN FINAL - FASE 12.5</w:t>
      </w:r>
    </w:p>
    <w:p>
      <w:pPr>
        <w:jc w:val="center"/>
      </w:pPr>
      <w:r>
        <w:rPr>
          <w:b/>
        </w:rPr>
        <w:t>Pruebas, evidencia y cierre definitivo del Módulo de Matrices de Riesgos</w:t>
      </w:r>
    </w:p>
    <w:p>
      <w:r>
        <w:rPr>
          <w:b/>
        </w:rPr>
        <w:t xml:space="preserve">Estado técnico: </w:t>
      </w:r>
      <w:r>
        <w:t>COMPLETADO - pendiente de aprobación formal e integración autorizada a main.</w:t>
      </w:r>
    </w:p>
    <w:p>
      <w:pPr>
        <w:pStyle w:val="Heading1"/>
        <w:keepNext/>
      </w:pPr>
      <w:r>
        <w:rPr>
          <w:color w:val="123B63"/>
        </w:rPr>
        <w:t>1. Consolidación de subfases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23B63"/>
          </w:tcPr>
          <w:p>
            <w:r/>
            <w:r>
              <w:rPr>
                <w:b/>
                <w:color w:val="FFFFFF"/>
                <w:sz w:val="18"/>
              </w:rPr>
              <w:t>Subfase</w:t>
            </w:r>
          </w:p>
        </w:tc>
        <w:tc>
          <w:tcPr>
            <w:tcW w:type="dxa" w:w="3389"/>
            <w:vAlign w:val="center"/>
            <w:shd w:fill="123B6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89"/>
            <w:vAlign w:val="center"/>
            <w:shd w:fill="123B63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12.5.1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Estándar institucional compartido para reportería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sz w:val="18"/>
              </w:rPr>
              <w:t>Completa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r/>
            <w:r>
              <w:rPr>
                <w:b w:val="0"/>
                <w:sz w:val="18"/>
              </w:rPr>
              <w:t>12.5.2</w:t>
            </w:r>
          </w:p>
        </w:tc>
        <w:tc>
          <w:tcPr>
            <w:tcW w:type="dxa" w:w="3389"/>
            <w:vAlign w:val="center"/>
            <w:shd w:fill="F3F6F9"/>
          </w:tcPr>
          <w:p>
            <w:r/>
            <w:r>
              <w:rPr>
                <w:b w:val="0"/>
                <w:sz w:val="18"/>
              </w:rPr>
              <w:t>Normalización de reportería de Monitoreo de Listas</w:t>
            </w:r>
          </w:p>
        </w:tc>
        <w:tc>
          <w:tcPr>
            <w:tcW w:type="dxa" w:w="3389"/>
            <w:vAlign w:val="center"/>
            <w:shd w:fill="F3F6F9"/>
          </w:tcPr>
          <w:p>
            <w:r/>
            <w:r>
              <w:rPr>
                <w:b/>
                <w:sz w:val="18"/>
              </w:rPr>
              <w:t>Completa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12.5.3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Reemplazo de reportería de Matrices de Riesgos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sz w:val="18"/>
              </w:rPr>
              <w:t>Completa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r/>
            <w:r>
              <w:rPr>
                <w:b w:val="0"/>
                <w:sz w:val="18"/>
              </w:rPr>
              <w:t>12.5.4</w:t>
            </w:r>
          </w:p>
        </w:tc>
        <w:tc>
          <w:tcPr>
            <w:tcW w:type="dxa" w:w="3389"/>
            <w:vAlign w:val="center"/>
            <w:shd w:fill="F3F6F9"/>
          </w:tcPr>
          <w:p>
            <w:r/>
            <w:r>
              <w:rPr>
                <w:b w:val="0"/>
                <w:sz w:val="18"/>
              </w:rPr>
              <w:t>Refinamiento UX, documental, accesibilidad y retiro de /recalcular</w:t>
            </w:r>
          </w:p>
        </w:tc>
        <w:tc>
          <w:tcPr>
            <w:tcW w:type="dxa" w:w="3389"/>
            <w:vAlign w:val="center"/>
            <w:shd w:fill="F3F6F9"/>
          </w:tcPr>
          <w:p>
            <w:r/>
            <w:r>
              <w:rPr>
                <w:b/>
                <w:sz w:val="18"/>
              </w:rPr>
              <w:t>Completa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12.5.5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Pruebas con archivos reales, evidencia y cierre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sz w:val="18"/>
              </w:rPr>
              <w:t>Completa técnicamente</w:t>
            </w:r>
          </w:p>
        </w:tc>
      </w:tr>
    </w:tbl>
    <w:p>
      <w:pPr>
        <w:pStyle w:val="Heading1"/>
        <w:keepNext/>
      </w:pPr>
      <w:r>
        <w:rPr>
          <w:color w:val="123B63"/>
        </w:rPr>
        <w:t>2. Validación integral</w:t>
      </w:r>
    </w:p>
    <w:p>
      <w:pPr>
        <w:pStyle w:val="ListBullet"/>
      </w:pPr>
      <w:r>
        <w:t>Backend: 96 pruebas aprobadas, 0 fallidas y 0 omitidas.</w:t>
      </w:r>
    </w:p>
    <w:p>
      <w:pPr>
        <w:pStyle w:val="ListBullet"/>
      </w:pPr>
      <w:r>
        <w:t>Frontend: 156 pruebas aprobadas en 15 archivos.</w:t>
      </w:r>
    </w:p>
    <w:p>
      <w:pPr>
        <w:pStyle w:val="ListBullet"/>
      </w:pPr>
      <w:r>
        <w:t>E2E: 7 escenarios aprobados y 0 fallidos.</w:t>
      </w:r>
    </w:p>
    <w:p>
      <w:pPr>
        <w:pStyle w:val="ListBullet"/>
      </w:pPr>
      <w:r>
        <w:t>Compilación Angular de producción: aprobada.</w:t>
      </w:r>
    </w:p>
    <w:p>
      <w:pPr>
        <w:pStyle w:val="ListBullet"/>
      </w:pPr>
      <w:r>
        <w:t>Cobertura backend: líneas 20.56% y ramas 20.86%.</w:t>
      </w:r>
    </w:p>
    <w:p>
      <w:pPr>
        <w:pStyle w:val="ListBullet"/>
      </w:pPr>
      <w:r>
        <w:t>Cobertura frontend: sentencias 36.59%, ramas 30.24%, funciones 33.68% y líneas 37.06%.</w:t>
      </w:r>
    </w:p>
    <w:p>
      <w:pPr>
        <w:pStyle w:val="Heading1"/>
        <w:keepNext/>
      </w:pPr>
      <w:r>
        <w:rPr>
          <w:color w:val="123B63"/>
        </w:rPr>
        <w:t>3. Archivos oficiales validados</w:t>
      </w:r>
    </w:p>
    <w:p>
      <w:pPr>
        <w:pStyle w:val="ListBullet"/>
      </w:pPr>
      <w:r>
        <w:t>reporte_ejecutivo_matrices.pdf: PDF válido, 2 página(s), texto extraíble y checksum SHA-256 registrado.</w:t>
      </w:r>
    </w:p>
    <w:p>
      <w:pPr>
        <w:pStyle w:val="ListBullet"/>
      </w:pPr>
      <w:r>
        <w:t>reporte_matrices.xlsx: libro OpenXML válido con hojas Resumen, Matrices, Factores, Mapa transición, Matrices críticas, Planes y checksum SHA-256 registrado.</w:t>
      </w:r>
    </w:p>
    <w:p>
      <w:pPr>
        <w:pStyle w:val="ListBullet"/>
      </w:pPr>
      <w:r>
        <w:t>ficha_individual_matriz.pdf: PDF válido, 1 página(s), texto extraíble y checksum SHA-256 registrado.</w:t>
      </w:r>
    </w:p>
    <w:p>
      <w:r>
        <w:rPr>
          <w:b/>
        </w:rPr>
        <w:t xml:space="preserve">Criterio de cierre: </w:t>
      </w:r>
      <w:r>
        <w:t>los archivos utilizados en esta validación fueron producidos por el renderer real del backend; no son plantillas HTML renombradas ni documentos generados localmente por Angular.</w:t>
      </w:r>
    </w:p>
    <w:p>
      <w:pPr>
        <w:pStyle w:val="Heading1"/>
        <w:keepNext/>
      </w:pPr>
      <w:r>
        <w:rPr>
          <w:color w:val="123B63"/>
        </w:rPr>
        <w:t>4. Validación Oracle</w:t>
      </w:r>
    </w:p>
    <w:p>
      <w:r>
        <w:rPr>
          <w:b/>
        </w:rPr>
        <w:t xml:space="preserve">Resultado: </w:t>
      </w:r>
      <w:r>
        <w:t>Validación Oracle real no ejecutada en CI por ausencia de conectividad, credenciales y autorización institucional; dependencia externa documentada.</w:t>
      </w:r>
    </w:p>
    <w:p>
      <w:pPr>
        <w:pStyle w:val="ListBullet"/>
      </w:pPr>
      <w:r>
        <w:t>Se verificó la presencia e integridad de los scripts SQL de validación de la Fase 12.3.</w:t>
      </w:r>
    </w:p>
    <w:p>
      <w:pPr>
        <w:pStyle w:val="ListBullet"/>
      </w:pPr>
      <w:r>
        <w:t>Las pruebas de repositorio, aplicación y cálculo ejecutadas en CI aprobaron sin modificar el esquema Oracle.</w:t>
      </w:r>
    </w:p>
    <w:p>
      <w:pPr>
        <w:pStyle w:val="ListBullet"/>
      </w:pPr>
      <w:r>
        <w:t>La ejecución contra una instancia Oracle institucional real queda registrada como dependencia externa: requiere red, credenciales y autorización del IHSS.</w:t>
      </w:r>
    </w:p>
    <w:p>
      <w:pPr>
        <w:pStyle w:val="Heading1"/>
        <w:keepNext/>
      </w:pPr>
      <w:r>
        <w:rPr>
          <w:color w:val="123B63"/>
        </w:rPr>
        <w:t>5. Restricciones y arquitectura preservadas</w:t>
      </w:r>
    </w:p>
    <w:p>
      <w:pPr>
        <w:pStyle w:val="ListBullet"/>
      </w:pPr>
      <w:r>
        <w:t>No se modificó DNP</w:t>
      </w:r>
    </w:p>
    <w:p>
      <w:pPr>
        <w:pStyle w:val="ListBullet"/>
      </w:pPr>
      <w:r>
        <w:t>No se tocó CONTROL_ALMACEN.PROVEEDOR</w:t>
      </w:r>
    </w:p>
    <w:p>
      <w:pPr>
        <w:pStyle w:val="ListBullet"/>
      </w:pPr>
      <w:r>
        <w:t>No se integró funcionalmente Monitoreo de Listas con Matrices de Riesgos</w:t>
      </w:r>
    </w:p>
    <w:p>
      <w:pPr>
        <w:pStyle w:val="ListBullet"/>
      </w:pPr>
      <w:r>
        <w:t>No se modificó el motor de cálculo de riesgo</w:t>
      </w:r>
    </w:p>
    <w:p>
      <w:pPr>
        <w:pStyle w:val="ListBullet"/>
      </w:pPr>
      <w:r>
        <w:t>No se fusionó a main</w:t>
      </w:r>
    </w:p>
    <w:p>
      <w:pPr>
        <w:pStyle w:val="Heading1"/>
        <w:keepNext/>
      </w:pPr>
      <w:r>
        <w:rPr>
          <w:color w:val="123B63"/>
        </w:rPr>
        <w:t>6. Cierre técnico</w:t>
      </w:r>
    </w:p>
    <w:p>
      <w:r>
        <w:rPr>
          <w:b/>
        </w:rPr>
        <w:t xml:space="preserve">La Fase 12.5 queda técnicamente completada. </w:t>
      </w:r>
      <w:r>
        <w:t>El Módulo de Matrices de Riesgos dispone de cálculo centralizado en backend, reportes oficiales PDF/XLSX, ficha individual, auditoría, controles UX y accesibilidad, pruebas automatizadas y evidencia de cierre. La integración a main continúa bloqueada hasta aprobación formal de Javier Mejía.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4"/>
          </w:tcPr>
          <w:p>
            <w:r/>
            <w:r>
              <w:rPr>
                <w:b/>
                <w:sz w:val="18"/>
              </w:rPr>
              <w:t>Responsable de aprobación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Javier Mejía</w:t>
            </w:r>
          </w:p>
        </w:tc>
      </w:tr>
      <w:tr>
        <w:tc>
          <w:tcPr>
            <w:tcW w:type="dxa" w:w="5083"/>
            <w:vAlign w:val="center"/>
            <w:shd w:fill="E8EEF4"/>
          </w:tcPr>
          <w:p>
            <w:r/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PENDIENTE DE APROBACIÓN FORMAL</w:t>
            </w:r>
          </w:p>
        </w:tc>
      </w:tr>
      <w:tr>
        <w:tc>
          <w:tcPr>
            <w:tcW w:type="dxa" w:w="5083"/>
            <w:vAlign w:val="center"/>
            <w:shd w:fill="E8EEF4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83"/>
            <w:vAlign w:val="center"/>
            <w:shd w:fill="E8EEF4"/>
          </w:tcPr>
          <w:p>
            <w:r/>
            <w:r>
              <w:rPr>
                <w:b/>
                <w:sz w:val="18"/>
              </w:rPr>
              <w:t>Firma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6" w:right="1037" w:bottom="864" w:left="1037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05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 w:eastAsia="Aptos"/>
              <w:color w:val="667085"/>
              <w:sz w:val="16"/>
            </w:rPr>
            <w:t>Documento de cierre técnico - Uso institucional</w:t>
          </w:r>
        </w:p>
      </w:tc>
      <w:tc>
        <w:tcPr>
          <w:tcW w:type="dxa" w:w="273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 w:eastAsia="Aptos"/>
              <w:color w:val="667085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Aptos" w:hAnsi="Aptos" w:eastAsia="Aptos"/>
        <w:b/>
        <w:color w:val="173B7A"/>
        <w:sz w:val="16"/>
      </w:rPr>
      <w:t>IHSS  |  Sistema de Gestión de Riesgos LA/FT  |  Módulo Matrices de Riesgos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B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Técnico Fase 12 y Actualización 12.5 - Matrices de Riesgos</dc:title>
  <dc:subject>Pruebas, evidencia y cierre definitivo</dc:subject>
  <dc:creator>Proyecto SGRLA/FT - IHSS</dc:creator>
  <cp:keywords>IHSS, LAFT, Matrices de Riesgos, Fase 12, Cierre Técnico</cp:keywords>
  <dc:description>Documento maestro de cierre técnico pendiente de aprobación formal.</dc:description>
  <cp:lastModifiedBy/>
  <cp:revision>1</cp:revision>
  <dcterms:created xsi:type="dcterms:W3CDTF">2013-12-23T23:15:00Z</dcterms:created>
  <dcterms:modified xsi:type="dcterms:W3CDTF">2026-07-22T20:51:31Z</dcterms:modified>
  <cp:category/>
  <cp:version>1.1</cp:version>
</cp:coreProperties>
</file>