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F8D"/>
          <w:sz w:val="28"/>
        </w:rPr>
        <w:t>Sistema de Gestión de Riesgos LA/FT - IHSS</w:t>
      </w:r>
    </w:p>
    <w:p>
      <w:pPr>
        <w:jc w:val="center"/>
      </w:pPr>
      <w:r>
        <w:rPr>
          <w:b/>
          <w:color w:val="1F3F8D"/>
          <w:sz w:val="32"/>
        </w:rPr>
        <w:t>Fase 10. Planes de Acción, Evidencias y Seguimiento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2448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8208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Módulo 3. Matrices de Riesgos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Versión</w:t>
            </w:r>
          </w:p>
        </w:tc>
        <w:tc>
          <w:tcPr>
            <w:tcW w:type="dxa" w:w="8208"/>
            <w:vAlign w:val="center"/>
          </w:tcPr>
          <w:p>
            <w:r>
              <w:t>1.2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8208"/>
            <w:vAlign w:val="center"/>
          </w:tcPr>
          <w:p>
            <w:r>
              <w:t>Fase 10 aprobada y cerrada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Responsable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Javier Mejía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Fecha de actualización</w:t>
            </w:r>
          </w:p>
        </w:tc>
        <w:tc>
          <w:tcPr>
            <w:tcW w:type="dxa" w:w="8208"/>
            <w:vAlign w:val="center"/>
          </w:tcPr>
          <w:p>
            <w:r>
              <w:t>16/07/2026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Base documental</w:t>
            </w:r>
          </w:p>
        </w:tc>
        <w:tc>
          <w:tcPr>
            <w:tcW w:type="dxa" w:w="8208"/>
            <w:vAlign w:val="center"/>
          </w:tcPr>
          <w:p>
            <w:r>
              <w:t>Fases 1 a 10 aprobadas/cerradas; evidencia funcional, calidad automatizada y validación DBA reproducible</w:t>
            </w:r>
          </w:p>
        </w:tc>
      </w:tr>
    </w:tbl>
    <w:p/>
    <w:p>
      <w:pPr>
        <w:pStyle w:val="Heading1"/>
      </w:pPr>
      <w:r>
        <w:t>1. Control de cambios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1152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584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5616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016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016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15/07/2026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Documento inicial de implementación de planes, evidencias y seguimiento.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Javier Mejía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Para validación técnica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16/07/2026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Validación funcional API y DBA completada; evidencia de planes, evidencias, historial y auditoría generada.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Javier Mejía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Validada técnicamente</w:t>
            </w:r>
          </w:p>
        </w:tc>
      </w:tr>
      <w:tr>
        <w:tc>
          <w:tcPr>
            <w:tcW w:type="dxa" w:w="1152"/>
            <w:vAlign w:val="center"/>
          </w:tcPr>
          <w:p>
            <w:r>
              <w:t>1.2</w:t>
            </w:r>
          </w:p>
        </w:tc>
        <w:tc>
          <w:tcPr>
            <w:tcW w:type="dxa" w:w="1584"/>
            <w:vAlign w:val="center"/>
          </w:tcPr>
          <w:p>
            <w:r>
              <w:t>16/07/2026</w:t>
            </w:r>
          </w:p>
        </w:tc>
        <w:tc>
          <w:tcPr>
            <w:tcW w:type="dxa" w:w="5616"/>
            <w:vAlign w:val="center"/>
          </w:tcPr>
          <w:p>
            <w:r>
              <w:t>Cierre formal con quality gates, E2E autenticado, trazabilidad, política de retención y validación DBA reproducible de solo lectura.</w:t>
            </w:r>
          </w:p>
        </w:tc>
        <w:tc>
          <w:tcPr>
            <w:tcW w:type="dxa" w:w="2016"/>
            <w:vAlign w:val="center"/>
          </w:tcPr>
          <w:p>
            <w:r>
              <w:t>Javier Mejía</w:t>
            </w:r>
          </w:p>
        </w:tc>
        <w:tc>
          <w:tcPr>
            <w:tcW w:type="dxa" w:w="2016"/>
            <w:vAlign w:val="center"/>
          </w:tcPr>
          <w:p>
            <w:r>
              <w:t>Aprobada y cerrada</w:t>
            </w:r>
          </w:p>
        </w:tc>
      </w:tr>
    </w:tbl>
    <w:p/>
    <w:p>
      <w:pPr>
        <w:pStyle w:val="Heading1"/>
      </w:pPr>
      <w:r>
        <w:t>2. Objetivo de la fase</w:t>
      </w:r>
    </w:p>
    <w:p>
      <w:r>
        <w:t>Validar la integración funcional de planes de acción, evidencias documentales y seguimiento de matrices de riesgos, asegurando trazabilidad, auditoría, eliminación lógica, motivos obligatorios y separación total frente a otros módulos del sistema.</w:t>
      </w:r>
    </w:p>
    <w:p>
      <w:pPr>
        <w:pStyle w:val="Heading1"/>
      </w:pPr>
      <w:r>
        <w:t>3. Alcance validado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2736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7920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b w:val="0"/>
                <w:sz w:val="18"/>
              </w:rPr>
              <w:t>Planes de acción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  <w:t>Creación, edición, cambio de estado, inactivación y reactivación con motivo obligatorio validados por API.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b w:val="0"/>
                <w:sz w:val="18"/>
              </w:rPr>
              <w:t>Evidencias documentales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  <w:t>Carga, listado, descarga y eliminación lógica validadas con archivo menor a 10 MB.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b w:val="0"/>
                <w:sz w:val="18"/>
              </w:rPr>
              <w:t>Historial funcional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  <w:t>Eventos de planes y evidencias reflejados en historial de la matriz.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b w:val="0"/>
                <w:sz w:val="18"/>
              </w:rPr>
              <w:t>Auditoría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  <w:t>Registros detectados en auditoría para RL_MR_PLANES_ACCION y RL_MR_EVIDENCIAS.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b w:val="0"/>
                <w:sz w:val="18"/>
              </w:rPr>
              <w:t>Reglas de cierre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  <w:t>Se valida bloqueo de cierre cuando la matriz requiere plan de acción pendiente.</w:t>
            </w:r>
          </w:p>
        </w:tc>
      </w:tr>
      <w:tr>
        <w:tc>
          <w:tcPr>
            <w:tcW w:type="dxa" w:w="2736"/>
            <w:vAlign w:val="center"/>
          </w:tcPr>
          <w:p>
            <w:r>
              <w:t>Calidad automatizada</w:t>
            </w:r>
          </w:p>
        </w:tc>
        <w:tc>
          <w:tcPr>
            <w:tcW w:type="dxa" w:w="7920"/>
            <w:vAlign w:val="center"/>
          </w:tcPr>
          <w:p>
            <w:r>
              <w:t>77/77 pruebas Backend, 123/123 Frontend y 6/6 E2E aprobadas; incluye acceso autenticado y autorizado al módulo 10 sin escrituras Oracle.</w:t>
            </w:r>
          </w:p>
        </w:tc>
      </w:tr>
      <w:tr>
        <w:tc>
          <w:tcPr>
            <w:tcW w:type="dxa" w:w="2736"/>
            <w:vAlign w:val="center"/>
          </w:tcPr>
          <w:p>
            <w:r>
              <w:t>Trazabilidad y custodia</w:t>
            </w:r>
          </w:p>
        </w:tc>
        <w:tc>
          <w:tcPr>
            <w:tcW w:type="dxa" w:w="7920"/>
            <w:vAlign w:val="center"/>
          </w:tcPr>
          <w:p>
            <w:r>
              <w:t>Matriz requisito-código-prueba-evidencia, índice de evidencias y política operativa de retención incorporados.</w:t>
            </w:r>
          </w:p>
        </w:tc>
      </w:tr>
    </w:tbl>
    <w:p/>
    <w:p>
      <w:pPr>
        <w:pStyle w:val="Heading1"/>
      </w:pPr>
      <w:r>
        <w:t>4. Validación funcional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6624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3456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6624"/>
            <w:vAlign w:val="center"/>
          </w:tcPr>
          <w:p>
            <w:r/>
            <w:r>
              <w:rPr>
                <w:b w:val="0"/>
                <w:sz w:val="18"/>
              </w:rPr>
              <w:t>Listar planes de matriz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6624"/>
            <w:vAlign w:val="center"/>
          </w:tcPr>
          <w:p>
            <w:r/>
            <w:r>
              <w:rPr>
                <w:b w:val="0"/>
                <w:sz w:val="18"/>
              </w:rPr>
              <w:t>Bloquear cierre de matriz con plan requerido pendiente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6624"/>
            <w:vAlign w:val="center"/>
          </w:tcPr>
          <w:p>
            <w:r/>
            <w:r>
              <w:rPr>
                <w:b w:val="0"/>
                <w:sz w:val="18"/>
              </w:rPr>
              <w:t>Crear plan de acción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6624"/>
            <w:vAlign w:val="center"/>
          </w:tcPr>
          <w:p>
            <w:r/>
            <w:r>
              <w:rPr>
                <w:b w:val="0"/>
                <w:sz w:val="18"/>
              </w:rPr>
              <w:t>Editar plan de acción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6624"/>
            <w:vAlign w:val="center"/>
          </w:tcPr>
          <w:p>
            <w:r/>
            <w:r>
              <w:rPr>
                <w:b w:val="0"/>
                <w:sz w:val="18"/>
              </w:rPr>
              <w:t>Cambiar estado de plan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6624"/>
            <w:vAlign w:val="center"/>
          </w:tcPr>
          <w:p>
            <w:r/>
            <w:r>
              <w:rPr>
                <w:b w:val="0"/>
                <w:sz w:val="18"/>
              </w:rPr>
              <w:t>Inactivar plan con motivo obligatorio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6624"/>
            <w:vAlign w:val="center"/>
          </w:tcPr>
          <w:p>
            <w:r/>
            <w:r>
              <w:rPr>
                <w:b w:val="0"/>
                <w:sz w:val="18"/>
              </w:rPr>
              <w:t>Reactivar plan con motivo obligatorio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6624"/>
            <w:vAlign w:val="center"/>
          </w:tcPr>
          <w:p>
            <w:r/>
            <w:r>
              <w:rPr>
                <w:b w:val="0"/>
                <w:sz w:val="18"/>
              </w:rPr>
              <w:t>Cargar evidencia documental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6624"/>
            <w:vAlign w:val="center"/>
          </w:tcPr>
          <w:p>
            <w:r/>
            <w:r>
              <w:rPr>
                <w:b w:val="0"/>
                <w:sz w:val="18"/>
              </w:rPr>
              <w:t>Listar evidencias activas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6624"/>
            <w:vAlign w:val="center"/>
          </w:tcPr>
          <w:p>
            <w:r/>
            <w:r>
              <w:rPr>
                <w:b w:val="0"/>
                <w:sz w:val="18"/>
              </w:rPr>
              <w:t>Descargar evidencia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6624"/>
            <w:vAlign w:val="center"/>
          </w:tcPr>
          <w:p>
            <w:r/>
            <w:r>
              <w:rPr>
                <w:b w:val="0"/>
                <w:sz w:val="18"/>
              </w:rPr>
              <w:t>Inactivar evidencia con motivo obligatorio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6624"/>
            <w:vAlign w:val="center"/>
          </w:tcPr>
          <w:p>
            <w:r/>
            <w:r>
              <w:rPr>
                <w:b w:val="0"/>
                <w:sz w:val="18"/>
              </w:rPr>
              <w:t>Consultar historial funcional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Correcto</w:t>
            </w:r>
          </w:p>
        </w:tc>
      </w:tr>
    </w:tbl>
    <w:p/>
    <w:p>
      <w:pPr>
        <w:pStyle w:val="Heading1"/>
      </w:pPr>
      <w:r>
        <w:t>5. Evidencia DBA y auditoría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3312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344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Matriz utilizada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b w:val="0"/>
                <w:sz w:val="18"/>
              </w:rPr>
              <w:t>MRMAT_ID 6, estado inicial CALCULADA, nivel residual Alto.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Plan de prueba</w:t>
            </w:r>
          </w:p>
        </w:tc>
        <w:tc>
          <w:tcPr>
            <w:tcW w:type="dxa" w:w="7344"/>
            <w:vAlign w:val="center"/>
          </w:tcPr>
          <w:p>
            <w:r>
              <w:t>MRPA_ID 2 utilizado para flujo de creación, edición, cambio de estado, inactivación y reactivación.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Evidencia de prueba</w:t>
            </w:r>
          </w:p>
        </w:tc>
        <w:tc>
          <w:tcPr>
            <w:tcW w:type="dxa" w:w="7344"/>
            <w:vAlign w:val="center"/>
          </w:tcPr>
          <w:p>
            <w:r>
              <w:t>MREV_ID 5 utilizado para flujo de carga, descarga e inactivación lógica.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Auditoría de planes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b w:val="0"/>
                <w:sz w:val="18"/>
              </w:rPr>
              <w:t>13 registros detectados para RL_MR_PLANES_ACCION.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Auditoría de evidencias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b w:val="0"/>
                <w:sz w:val="18"/>
              </w:rPr>
              <w:t>24 registros detectados para RL_MR_EVIDENCIAS.</w:t>
            </w:r>
          </w:p>
        </w:tc>
      </w:tr>
    </w:tbl>
    <w:p/>
    <w:p>
      <w:pPr>
        <w:pStyle w:val="Heading1"/>
      </w:pPr>
      <w:r>
        <w:t>6. Separación de módulos confirmada</w:t>
      </w:r>
    </w:p>
    <w:p>
      <w:r>
        <w:t>La validación técnica confirma que Fase 10 no crea dependencia funcional con Monitoreo de Listas, no habilita escritura hacia DNP, no utiliza CONTROL_ALMACEN.PROVEEDOR y no modifica la política institucional de permisos por módulo.</w:t>
      </w:r>
    </w:p>
    <w:p>
      <w:pPr>
        <w:pStyle w:val="Heading1"/>
      </w:pPr>
      <w:r>
        <w:t>7. Validación de compilación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3456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type="dxa" w:w="6912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Backend .NET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sz w:val="18"/>
              </w:rPr>
              <w:t>Compilación correcta, 0 errores y 0 advertencias.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Frontend Angular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sz w:val="18"/>
              </w:rPr>
              <w:t>Compilación correcta mediante npm.cmd run build.</w:t>
            </w:r>
          </w:p>
        </w:tc>
      </w:tr>
      <w:tr>
        <w:tc>
          <w:tcPr>
            <w:tcW w:type="dxa" w:w="3456"/>
            <w:vAlign w:val="center"/>
          </w:tcPr>
          <w:p>
            <w:r>
              <w:t>Quality gates</w:t>
            </w:r>
          </w:p>
        </w:tc>
        <w:tc>
          <w:tcPr>
            <w:tcW w:type="dxa" w:w="6912"/>
            <w:vAlign w:val="center"/>
          </w:tcPr>
          <w:p>
            <w:r>
              <w:t>77/77 Backend, 123/123 Frontend y 6/6 E2E; todos los pisos de cobertura aprobados y elevados.</w:t>
            </w:r>
          </w:p>
        </w:tc>
      </w:tr>
      <w:tr>
        <w:tc>
          <w:tcPr>
            <w:tcW w:type="dxa" w:w="3456"/>
            <w:vAlign w:val="center"/>
          </w:tcPr>
          <w:p>
            <w:r>
              <w:t>GitHub Actions</w:t>
            </w:r>
          </w:p>
        </w:tc>
        <w:tc>
          <w:tcPr>
            <w:tcW w:type="dxa" w:w="6912"/>
            <w:vAlign w:val="center"/>
          </w:tcPr>
          <w:p>
            <w:r>
              <w:t>Workflow de quality gates incorporado para push y pull request sobre main.</w:t>
            </w:r>
          </w:p>
        </w:tc>
      </w:tr>
    </w:tbl>
    <w:p/>
    <w:p>
      <w:pPr>
        <w:pStyle w:val="Heading1"/>
      </w:pPr>
      <w:r>
        <w:t>8. Observaciones controladas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3600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Observación</w:t>
            </w:r>
          </w:p>
        </w:tc>
        <w:tc>
          <w:tcPr>
            <w:tcW w:type="dxa" w:w="6912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Tratamiento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Aprobación formal</w:t>
            </w:r>
          </w:p>
        </w:tc>
        <w:tc>
          <w:tcPr>
            <w:tcW w:type="dxa" w:w="6912"/>
            <w:vAlign w:val="center"/>
          </w:tcPr>
          <w:p>
            <w:r>
              <w:t>Aprobación formal registrada mediante autorización expresa del responsable del proyecto en sesión de trabajo del 16/07/2026.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Sincronización Git remota</w:t>
            </w:r>
          </w:p>
        </w:tc>
        <w:tc>
          <w:tcPr>
            <w:tcW w:type="dxa" w:w="6912"/>
            <w:vAlign w:val="center"/>
          </w:tcPr>
          <w:p>
            <w:r>
              <w:t>No existe bloqueo SSL vigente. Se confirmó conectividad y sincronización de main con origin/main antes de preparar este cierre.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Capturas navegadas</w:t>
            </w:r>
          </w:p>
        </w:tc>
        <w:tc>
          <w:tcPr>
            <w:tcW w:type="dxa" w:w="6912"/>
            <w:vAlign w:val="center"/>
          </w:tcPr>
          <w:p>
            <w:r>
              <w:t>Se incorporó un recorrido E2E autenticado y autorizado del módulo 10. Las capturas siguen siendo evidencia visual complementaria, no un requisito de cierre.</w:t>
            </w:r>
          </w:p>
        </w:tc>
      </w:tr>
    </w:tbl>
    <w:p/>
    <w:p>
      <w:pPr>
        <w:pStyle w:val="Heading1"/>
      </w:pPr>
      <w:r>
        <w:t>9. Criterios de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6912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2592"/>
            <w:vAlign w:val="center"/>
            <w:shd w:fill="1F3F8D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6912"/>
            <w:vAlign w:val="center"/>
          </w:tcPr>
          <w:p>
            <w:r/>
            <w:r>
              <w:rPr>
                <w:b w:val="0"/>
                <w:sz w:val="18"/>
              </w:rPr>
              <w:t>Planes de acción con estados auditables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Cumplido</w:t>
            </w:r>
          </w:p>
        </w:tc>
      </w:tr>
      <w:tr>
        <w:tc>
          <w:tcPr>
            <w:tcW w:type="dxa" w:w="6912"/>
            <w:vAlign w:val="center"/>
          </w:tcPr>
          <w:p>
            <w:r/>
            <w:r>
              <w:rPr>
                <w:b w:val="0"/>
                <w:sz w:val="18"/>
              </w:rPr>
              <w:t>Motivo obligatorio en inactivación/reactivación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Cumplido</w:t>
            </w:r>
          </w:p>
        </w:tc>
      </w:tr>
      <w:tr>
        <w:tc>
          <w:tcPr>
            <w:tcW w:type="dxa" w:w="6912"/>
            <w:vAlign w:val="center"/>
          </w:tcPr>
          <w:p>
            <w:r/>
            <w:r>
              <w:rPr>
                <w:b w:val="0"/>
                <w:sz w:val="18"/>
              </w:rPr>
              <w:t>Evidencias con carga, descarga y eliminación lógica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Cumplido</w:t>
            </w:r>
          </w:p>
        </w:tc>
      </w:tr>
      <w:tr>
        <w:tc>
          <w:tcPr>
            <w:tcW w:type="dxa" w:w="6912"/>
            <w:vAlign w:val="center"/>
          </w:tcPr>
          <w:p>
            <w:r/>
            <w:r>
              <w:rPr>
                <w:b w:val="0"/>
                <w:sz w:val="18"/>
              </w:rPr>
              <w:t>Historial funcional actualizado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Cumplido</w:t>
            </w:r>
          </w:p>
        </w:tc>
      </w:tr>
      <w:tr>
        <w:tc>
          <w:tcPr>
            <w:tcW w:type="dxa" w:w="6912"/>
            <w:vAlign w:val="center"/>
          </w:tcPr>
          <w:p>
            <w:r/>
            <w:r>
              <w:rPr>
                <w:b w:val="0"/>
                <w:sz w:val="18"/>
              </w:rPr>
              <w:t>Auditoría registrada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Cumplido</w:t>
            </w:r>
          </w:p>
        </w:tc>
      </w:tr>
      <w:tr>
        <w:tc>
          <w:tcPr>
            <w:tcW w:type="dxa" w:w="6912"/>
            <w:vAlign w:val="center"/>
          </w:tcPr>
          <w:p>
            <w:r/>
            <w:r>
              <w:rPr>
                <w:b w:val="0"/>
                <w:sz w:val="18"/>
              </w:rPr>
              <w:t>Sin acoplamiento con Monitoreo de Listas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Cumplido</w:t>
            </w:r>
          </w:p>
        </w:tc>
      </w:tr>
      <w:tr>
        <w:tc>
          <w:tcPr>
            <w:tcW w:type="dxa" w:w="6912"/>
            <w:vAlign w:val="center"/>
          </w:tcPr>
          <w:p>
            <w:r/>
            <w:r>
              <w:rPr>
                <w:b w:val="0"/>
                <w:sz w:val="18"/>
              </w:rPr>
              <w:t>Sin cambios de permisos por acción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Cumplido</w:t>
            </w:r>
          </w:p>
        </w:tc>
      </w:tr>
      <w:tr>
        <w:tc>
          <w:tcPr>
            <w:tcW w:type="dxa" w:w="6912"/>
            <w:vAlign w:val="center"/>
          </w:tcPr>
          <w:p>
            <w:r>
              <w:t>Quality gates Backend, Frontend y E2E</w:t>
            </w:r>
          </w:p>
        </w:tc>
        <w:tc>
          <w:tcPr>
            <w:tcW w:type="dxa" w:w="2592"/>
            <w:vAlign w:val="center"/>
          </w:tcPr>
          <w:p>
            <w:r>
              <w:t>Cumplido</w:t>
            </w:r>
          </w:p>
        </w:tc>
      </w:tr>
      <w:tr>
        <w:tc>
          <w:tcPr>
            <w:tcW w:type="dxa" w:w="6912"/>
            <w:vAlign w:val="center"/>
          </w:tcPr>
          <w:p>
            <w:r>
              <w:t>Trazabilidad requisito-código-prueba-evidencia</w:t>
            </w:r>
          </w:p>
        </w:tc>
        <w:tc>
          <w:tcPr>
            <w:tcW w:type="dxa" w:w="2592"/>
            <w:vAlign w:val="center"/>
          </w:tcPr>
          <w:p>
            <w:r>
              <w:t>Cumplido</w:t>
            </w:r>
          </w:p>
        </w:tc>
      </w:tr>
      <w:tr>
        <w:tc>
          <w:tcPr>
            <w:tcW w:type="dxa" w:w="6912"/>
            <w:vAlign w:val="center"/>
          </w:tcPr>
          <w:p>
            <w:r>
              <w:t>Validación DBA reproducible de solo lectura</w:t>
            </w:r>
          </w:p>
        </w:tc>
        <w:tc>
          <w:tcPr>
            <w:tcW w:type="dxa" w:w="2592"/>
            <w:vAlign w:val="center"/>
          </w:tcPr>
          <w:p>
            <w:r>
              <w:t>Cumplido</w:t>
            </w:r>
          </w:p>
        </w:tc>
      </w:tr>
      <w:tr>
        <w:tc>
          <w:tcPr>
            <w:tcW w:type="dxa" w:w="6912"/>
            <w:vAlign w:val="center"/>
          </w:tcPr>
          <w:p>
            <w:r>
              <w:t>Política operativa de retención</w:t>
            </w:r>
          </w:p>
        </w:tc>
        <w:tc>
          <w:tcPr>
            <w:tcW w:type="dxa" w:w="2592"/>
            <w:vAlign w:val="center"/>
          </w:tcPr>
          <w:p>
            <w:r>
              <w:t>Cumplido</w:t>
            </w:r>
          </w:p>
        </w:tc>
      </w:tr>
    </w:tbl>
    <w:p/>
    <w:p>
      <w:pPr>
        <w:pStyle w:val="Heading1"/>
      </w:pPr>
      <w:r>
        <w:t>10. Conclusión técnica</w:t>
      </w:r>
    </w:p>
    <w:p>
      <w:r>
        <w:t>La Fase 10 queda aprobada y cerrada con evidencia funcional API y de auditoría, pruebas automatizadas Backend/Frontend/E2E, trazabilidad documental y un procedimiento DBA reproducible de solo lectura. El flujo de planes de acción, evidencias documentales y seguimiento responde a las reglas del módulo de Matrices de Riesgos, mantiene la separación frente a otros módulos y conserva la custodia de los archivos protegidos.</w:t>
      </w:r>
    </w:p>
    <w:p>
      <w:r>
        <w:t>Acción posterior al cierre: mantener los quality gates activos en GitHub Actions, ejecutar el SQL DBA de solo lectura en cada ambiente institucional que requiera certificación y ratificar externamente el plazo legal de retención antes de habilitar cualquier disposición automática de evidencias.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F8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F8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F8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Fase 10 aprobada y cerrada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1.2</cp:version>
</cp:coreProperties>
</file>