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</w:pPr>
    </w:p>
    <w:p>
      <w:pPr>
        <w:widowControl/>
      </w:pPr>
    </w:p>
    <w:p>
      <w:pPr>
        <w:widowControl/>
        <w:jc w:val="center"/>
      </w:pPr>
      <w:r>
        <w:rPr>
          <w:rFonts w:ascii="Aptos" w:hAnsi="Aptos" w:eastAsia="Aptos"/>
          <w:b/>
          <w:color w:val="173B7A"/>
          <w:sz w:val="28"/>
          <w:lang w:val="es-HN"/>
        </w:rPr>
        <w:t>INSTITUTO HONDUREÑO DE SEGURIDAD SOCIAL</w:t>
      </w:r>
    </w:p>
    <w:p>
      <w:pPr>
        <w:widowControl/>
        <w:jc w:val="center"/>
      </w:pPr>
      <w:r>
        <w:rPr>
          <w:rFonts w:ascii="Aptos" w:hAnsi="Aptos" w:eastAsia="Aptos"/>
          <w:b/>
          <w:color w:val="2F6FB2"/>
          <w:sz w:val="22"/>
          <w:lang w:val="es-HN"/>
        </w:rPr>
        <w:t>SISTEMA DE GESTIÓN DE RIESGOS DE LAVADO DE ACTIVOS</w:t>
        <w:br/>
        <w:t>Y FINANCIAMIENTO DEL TERRORISMO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220" w:type="dxa"/>
              <w:start w:w="250" w:type="dxa"/>
              <w:bottom w:w="220" w:type="dxa"/>
              <w:end w:w="25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44"/>
              </w:rPr>
              <w:t>CIERRE TÉCNICO DE LA FASE 12</w:t>
            </w:r>
          </w:p>
          <w:p>
            <w:pPr>
              <w:jc w:val="center"/>
            </w:pPr>
            <w:r>
              <w:rPr>
                <w:rFonts w:ascii="Aptos" w:hAnsi="Aptos" w:eastAsia="Aptos"/>
                <w:color w:val="DCE8F6"/>
                <w:sz w:val="20"/>
              </w:rPr>
              <w:t>Mejora ejecutiva UX/UI, dashboard, mapa de calor, reportería y control de calidad</w:t>
            </w:r>
          </w:p>
        </w:tc>
      </w:tr>
    </w:tbl>
    <w:p>
      <w:pPr>
        <w:widowControl/>
        <w:spacing w:before="360"/>
        <w:jc w:val="center"/>
      </w:pPr>
      <w:r>
        <w:rPr>
          <w:rFonts w:ascii="Aptos" w:hAnsi="Aptos" w:eastAsia="Aptos"/>
          <w:b/>
          <w:color w:val="1F8A5B"/>
          <w:sz w:val="28"/>
          <w:lang w:val="es-HN"/>
        </w:rPr>
        <w:t>MÓDULO 2 - MATRICES DE RIESGOS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Documento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color w:val="1F2937"/>
                <w:sz w:val="18"/>
              </w:rPr>
              <w:t>Cierre Técnico Fase 12 - Versión Única para Aprobación</w:t>
            </w:r>
          </w:p>
        </w:tc>
      </w:tr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Versión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color w:val="1F2937"/>
                <w:sz w:val="18"/>
              </w:rPr>
              <w:t>1.0</w:t>
            </w:r>
          </w:p>
        </w:tc>
      </w:tr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Fecha de emisión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color w:val="1F2937"/>
                <w:sz w:val="18"/>
              </w:rPr>
              <w:t>21 de julio de 2026</w:t>
            </w:r>
          </w:p>
        </w:tc>
      </w:tr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Rama validada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color w:val="1F2937"/>
                <w:sz w:val="18"/>
              </w:rPr>
              <w:t>fase-12-mejora-ejecutiva-matrices</w:t>
            </w:r>
          </w:p>
        </w:tc>
      </w:tr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Estado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F8A5B"/>
                <w:sz w:val="18"/>
              </w:rPr>
              <w:t>VALIDACIÓN TÉCNICA APROBADA - PENDIENTE APROBACIÓN FORMAL</w:t>
            </w:r>
          </w:p>
        </w:tc>
      </w:tr>
    </w:tbl>
    <w:p>
      <w:pPr>
        <w:widowControl/>
        <w:spacing w:before="440"/>
        <w:jc w:val="center"/>
      </w:pPr>
      <w:r>
        <w:rPr>
          <w:rFonts w:ascii="Aptos" w:hAnsi="Aptos" w:eastAsia="Aptos"/>
          <w:i/>
          <w:color w:val="667085"/>
          <w:sz w:val="18"/>
          <w:lang w:val="es-HN"/>
        </w:rPr>
        <w:t>Preparado para revisión y aprobación de Javier Mejía</w:t>
      </w: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CONTROL DEL DOCUMENTO Y APROBACIÓN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Documento maestro de cierre técnico de la Fase 12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1. Control documental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66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Campo</w:t>
            </w:r>
          </w:p>
        </w:tc>
        <w:tc>
          <w:tcPr>
            <w:tcW w:type="dxa" w:w="684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Código documental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SGRLA-IHSS-MR-F12-CT-001</w:t>
            </w:r>
          </w:p>
        </w:tc>
      </w:tr>
      <w:tr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Nombre</w:t>
            </w:r>
          </w:p>
        </w:tc>
        <w:tc>
          <w:tcPr>
            <w:tcW w:type="dxa" w:w="684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Cierre Técnico Fase 12 - Matrices de Riesgos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Versión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1.0</w:t>
            </w:r>
          </w:p>
        </w:tc>
      </w:tr>
      <w:tr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Fecha</w:t>
            </w:r>
          </w:p>
        </w:tc>
        <w:tc>
          <w:tcPr>
            <w:tcW w:type="dxa" w:w="684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21/07/2026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Clasificación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Uso institucional</w:t>
            </w:r>
          </w:p>
        </w:tc>
      </w:tr>
      <w:tr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Responsable funcional</w:t>
            </w:r>
          </w:p>
        </w:tc>
        <w:tc>
          <w:tcPr>
            <w:tcW w:type="dxa" w:w="684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Javier Mejía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Repositorio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jmejia31/RIESGO_LAVADO</w:t>
            </w:r>
          </w:p>
        </w:tc>
      </w:tr>
      <w:tr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Pull Request</w:t>
            </w:r>
          </w:p>
        </w:tc>
        <w:tc>
          <w:tcPr>
            <w:tcW w:type="dxa" w:w="684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#2 - Fase 12 — Matrices de Riesgos técnicamente completada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Estado de integración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No fusionado a main; PR conservado en borrador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2. Decisión ejecutiva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6F0"/>
            <w:tcBorders>
              <w:top w:val="single" w:sz="10" w:color="1F8A5B"/>
              <w:left w:val="single" w:sz="18" w:color="1F8A5B"/>
              <w:bottom w:val="single" w:sz="10" w:color="1F8A5B"/>
              <w:right w:val="single" w:sz="10" w:color="1F8A5B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rFonts w:ascii="Aptos" w:hAnsi="Aptos" w:eastAsia="Aptos"/>
                <w:b/>
                <w:color w:val="1F8A5B"/>
                <w:sz w:val="20"/>
              </w:rPr>
              <w:t>RESULTADO TÉCNICO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8"/>
              </w:rPr>
              <w:t>La Fase 12 se encuentra técnicamente completa y validada. El código productivo, las pruebas automatizadas, el build Angular y los escenarios E2E aprobaron los Quality Gates. No se realizó fusión a main. El único paso pendiente es la aprobación formal de Javier Mejía y, posteriormente, la integración controlada del PR #2.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3. Firmas de aprobación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173B7A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Rol</w:t>
            </w:r>
          </w:p>
        </w:tc>
        <w:tc>
          <w:tcPr>
            <w:tcW w:type="dxa" w:w="3389"/>
            <w:shd w:fill="173B7A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Nombre / firma</w:t>
            </w:r>
          </w:p>
        </w:tc>
        <w:tc>
          <w:tcPr>
            <w:tcW w:type="dxa" w:w="3389"/>
            <w:shd w:fill="173B7A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Fecha</w:t>
            </w:r>
          </w:p>
        </w:tc>
      </w:tr>
      <w:tr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Responsable funcional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36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Javier Mejía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 / ____ / 2026</w:t>
            </w:r>
          </w:p>
        </w:tc>
      </w:tr>
      <w:tr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Aprobación institucional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36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____________________________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 / ____ / 2026</w:t>
            </w:r>
          </w:p>
        </w:tc>
      </w:tr>
      <w:tr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Aprobación técnica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36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____________________________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 / ____ / 2026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RESUMEN EJECUTIVO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Alcance consolidado y decisión de cierre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4. Objetivo de la Fase 12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La Fase 12 tuvo como objetivo elevar el Módulo de Matrices de Riesgos a un nivel ejecutivo, coherente y controlado, fortaleciendo reglas funcionales, captura de criterios, dashboard, mapa de calor, reportería y pruebas integrales, sin alterar las restricciones institucionales previamente aprobadas.</w:t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5. Resultado consolidado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Se normalizaron los estados visibles y las transiciones operativas de las matrices.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Se consolidó la captura por tipo de sujeto, con validaciones de variables, criterios y rangos.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El dashboard muestra todas las matrices activas y todos los tipos de sujeto, incluyendo matrices aún sin evaluación.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El mapa de calor representa la transición entre nivel inherente y nivel residual con datos reales provenientes de Oracle y cálculo ejecutado exclusivamente en backend.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 reportería PDF y Excel utiliza los mismos filtros, totales y mapa de transición del dashboard.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Angular descarga exactamente el archivo generado por el backend; se eliminó la doble generación local.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 rama final quedó sin workflows ni scripts temporales de integración.</w:t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6. Estado por subfase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936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Subfase</w:t>
            </w:r>
          </w:p>
        </w:tc>
        <w:tc>
          <w:tcPr>
            <w:tcW w:type="dxa" w:w="266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Nombre</w:t>
            </w:r>
          </w:p>
        </w:tc>
        <w:tc>
          <w:tcPr>
            <w:tcW w:type="dxa" w:w="144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446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Resultado</w:t>
            </w:r>
          </w:p>
        </w:tc>
      </w:tr>
      <w:tr>
        <w:tc>
          <w:tcPr>
            <w:tcW w:type="dxa" w:w="93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12.1</w:t>
            </w:r>
          </w:p>
        </w:tc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Orden funcional y reglas</w:t>
            </w:r>
          </w:p>
        </w:tc>
        <w:tc>
          <w:tcPr>
            <w:tcW w:type="dxa" w:w="14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COMPLETADA</w:t>
            </w:r>
          </w:p>
        </w:tc>
        <w:tc>
          <w:tcPr>
            <w:tcW w:type="dxa" w:w="44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Estados, recálculo automático y políticas de operación.</w:t>
            </w:r>
          </w:p>
        </w:tc>
      </w:tr>
      <w:tr>
        <w:tc>
          <w:tcPr>
            <w:tcW w:type="dxa" w:w="93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12.2</w:t>
            </w:r>
          </w:p>
        </w:tc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Captura y criterios</w:t>
            </w:r>
          </w:p>
        </w:tc>
        <w:tc>
          <w:tcPr>
            <w:tcW w:type="dxa" w:w="1440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COMPLETADA</w:t>
            </w:r>
          </w:p>
        </w:tc>
        <w:tc>
          <w:tcPr>
            <w:tcW w:type="dxa" w:w="44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Variables, criterios, rangos, auditoría y controles.</w:t>
            </w:r>
          </w:p>
        </w:tc>
      </w:tr>
      <w:tr>
        <w:tc>
          <w:tcPr>
            <w:tcW w:type="dxa" w:w="93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12.3</w:t>
            </w:r>
          </w:p>
        </w:tc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y mapa de calor</w:t>
            </w:r>
          </w:p>
        </w:tc>
        <w:tc>
          <w:tcPr>
            <w:tcW w:type="dxa" w:w="14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COMPLETADA</w:t>
            </w:r>
          </w:p>
        </w:tc>
        <w:tc>
          <w:tcPr>
            <w:tcW w:type="dxa" w:w="44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Todos los tipos, matrices sin evaluar, mapa funcional y paleta institucional.</w:t>
            </w:r>
          </w:p>
        </w:tc>
      </w:tr>
      <w:tr>
        <w:tc>
          <w:tcPr>
            <w:tcW w:type="dxa" w:w="93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12.4</w:t>
            </w:r>
          </w:p>
        </w:tc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Reportería, pruebas y cierre</w:t>
            </w:r>
          </w:p>
        </w:tc>
        <w:tc>
          <w:tcPr>
            <w:tcW w:type="dxa" w:w="1440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COMPLETADA</w:t>
            </w:r>
          </w:p>
        </w:tc>
        <w:tc>
          <w:tcPr>
            <w:tcW w:type="dxa" w:w="44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Coherencia PDF/Excel, descarga backend y Quality Gates finales.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RESULTADO FUNCIONAL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Dashboard ejecutivo, cobertura total y mapa de calor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7. Cobertura de matrices y tipos de sujeto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El dashboard y la reportería contemplan las matrices activas existentes para todos los tipos de sujeto habilitados. Las matrices sin resultado consolidado se mantienen visibles en los KPI y listados mediante el indicador “Sin evaluar”; no se ubican en una celda del mapa hasta contar con niveles inherente y residual.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4896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Etiqueta funcional</w:t>
            </w:r>
          </w:p>
        </w:tc>
        <w:tc>
          <w:tcPr>
            <w:tcW w:type="dxa" w:w="1872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PROVEEDOR</w:t>
            </w:r>
          </w:p>
        </w:tc>
        <w:tc>
          <w:tcPr>
            <w:tcW w:type="dxa" w:w="489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Proveedor</w:t>
            </w:r>
          </w:p>
        </w:tc>
        <w:tc>
          <w:tcPr>
            <w:tcW w:type="dxa" w:w="18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CLIENTE_PATRONO</w:t>
            </w:r>
          </w:p>
        </w:tc>
        <w:tc>
          <w:tcPr>
            <w:tcW w:type="dxa" w:w="489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Cliente / Patrono</w:t>
            </w:r>
          </w:p>
        </w:tc>
        <w:tc>
          <w:tcPr>
            <w:tcW w:type="dxa" w:w="1872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EMPLEADO</w:t>
            </w:r>
          </w:p>
        </w:tc>
        <w:tc>
          <w:tcPr>
            <w:tcW w:type="dxa" w:w="489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Empleado</w:t>
            </w:r>
          </w:p>
        </w:tc>
        <w:tc>
          <w:tcPr>
            <w:tcW w:type="dxa" w:w="18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AREA</w:t>
            </w:r>
          </w:p>
        </w:tc>
        <w:tc>
          <w:tcPr>
            <w:tcW w:type="dxa" w:w="489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Área</w:t>
            </w:r>
          </w:p>
        </w:tc>
        <w:tc>
          <w:tcPr>
            <w:tcW w:type="dxa" w:w="1872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PROCESO</w:t>
            </w:r>
          </w:p>
        </w:tc>
        <w:tc>
          <w:tcPr>
            <w:tcW w:type="dxa" w:w="489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Proceso</w:t>
            </w:r>
          </w:p>
        </w:tc>
        <w:tc>
          <w:tcPr>
            <w:tcW w:type="dxa" w:w="18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CASO_POSITIVO</w:t>
            </w:r>
          </w:p>
        </w:tc>
        <w:tc>
          <w:tcPr>
            <w:tcW w:type="dxa" w:w="489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Caso positivo</w:t>
            </w:r>
          </w:p>
        </w:tc>
        <w:tc>
          <w:tcPr>
            <w:tcW w:type="dxa" w:w="1872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INSTITUCIONAL</w:t>
            </w:r>
          </w:p>
        </w:tc>
        <w:tc>
          <w:tcPr>
            <w:tcW w:type="dxa" w:w="489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Institucional</w:t>
            </w:r>
          </w:p>
        </w:tc>
        <w:tc>
          <w:tcPr>
            <w:tcW w:type="dxa" w:w="18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8. Aclaración sobre el resultado consolidado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2FB"/>
            <w:tcBorders>
              <w:top w:val="single" w:sz="10" w:color="2F6FB2"/>
              <w:left w:val="single" w:sz="18" w:color="2F6FB2"/>
              <w:bottom w:val="single" w:sz="10" w:color="2F6FB2"/>
              <w:right w:val="single" w:sz="10" w:color="2F6FB2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rFonts w:ascii="Aptos" w:hAnsi="Aptos" w:eastAsia="Aptos"/>
                <w:b/>
                <w:color w:val="2F6FB2"/>
                <w:sz w:val="20"/>
              </w:rPr>
              <w:t>REGLA DE CONSOLIDACIÓN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8"/>
              </w:rPr>
              <w:t>MRR_TIPO_RESULTADO = 'INSTITUCIONAL' identifica el resultado consolidado general de una matriz. No restringe el tipo de sujeto a institucional. Mantener un único resultado consolidado vigente por matriz evita duplicar el conteo ejecutivo por cada resultado de factor.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lang w:val="es-HN"/>
        </w:rPr>
        <w:br w:type="page"/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9. Mapa de calor funcional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Eje vertical: nivel de riesgo inherente.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Eje horizontal: nivel de riesgo residual.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Cada matriz se contabiliza una sola vez mediante su resultado consolidado vigente.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Selección de celda: aplica filtros por nivel inherente y residual al dashboard y a la reportería.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Paleta aprobada: verde → amarillo → naranja → rojo, con incremento diagonal de severidad.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Los resultados por factor permanecen disponibles en el detalle y en la reportería técnica.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Inherente ↓ / Residual →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MUY BAJO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BAJO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MEDIO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ALTO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CRÍTICO</w:t>
            </w: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CRÍTICO</w:t>
            </w:r>
          </w:p>
        </w:tc>
        <w:tc>
          <w:tcPr>
            <w:tcW w:type="dxa" w:w="1694"/>
            <w:vAlign w:val="center"/>
            <w:shd w:fill="FEE2E2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ECAC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BA74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B923C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EF4444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ALTO</w:t>
            </w:r>
          </w:p>
        </w:tc>
        <w:tc>
          <w:tcPr>
            <w:tcW w:type="dxa" w:w="1694"/>
            <w:vAlign w:val="center"/>
            <w:shd w:fill="FEF3C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E68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CD34D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B923C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87171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MEDIO</w:t>
            </w:r>
          </w:p>
        </w:tc>
        <w:tc>
          <w:tcPr>
            <w:tcW w:type="dxa" w:w="1694"/>
            <w:vAlign w:val="center"/>
            <w:shd w:fill="DCFCE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EF3C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E68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BBF24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B923C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BAJO</w:t>
            </w:r>
          </w:p>
        </w:tc>
        <w:tc>
          <w:tcPr>
            <w:tcW w:type="dxa" w:w="1694"/>
            <w:vAlign w:val="center"/>
            <w:shd w:fill="BBF7D0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D9F99D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EF3C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E68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CD34D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MUY BAJO</w:t>
            </w:r>
          </w:p>
        </w:tc>
        <w:tc>
          <w:tcPr>
            <w:tcW w:type="dxa" w:w="1694"/>
            <w:vAlign w:val="center"/>
            <w:shd w:fill="86EFAC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BBF7D0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DCFCE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EF3C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E68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</w:tbl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REPORTERÍA Y EXPORTACIONES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Coherencia entre dashboard, API, PDF y Excel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10. Corrección estructural de Fase 12.4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Antes del ajuste, el backend generaba y auditaba un archivo filtrado, pero Angular descartaba el blob recibido y construía un archivo local distinto. Esta doble generación fue eliminada. La interfaz ahora descarga exactamente el archivo producido por el API, preservando filtros, contenido, nomenclatura y trazabilidad.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72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Paso</w:t>
            </w:r>
          </w:p>
        </w:tc>
        <w:tc>
          <w:tcPr>
            <w:tcW w:type="dxa" w:w="28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Proceso</w:t>
            </w:r>
          </w:p>
        </w:tc>
        <w:tc>
          <w:tcPr>
            <w:tcW w:type="dxa" w:w="590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Control</w:t>
            </w:r>
          </w:p>
        </w:tc>
      </w:tr>
      <w:tr>
        <w:tc>
          <w:tcPr>
            <w:tcW w:type="dxa" w:w="7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Usuario define filtros</w:t>
            </w:r>
          </w:p>
        </w:tc>
        <w:tc>
          <w:tcPr>
            <w:tcW w:type="dxa" w:w="590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Buscar, estado, sujeto, fechas, niveles, versión y responsable.</w:t>
            </w:r>
          </w:p>
        </w:tc>
      </w:tr>
      <w:tr>
        <w:tc>
          <w:tcPr>
            <w:tcW w:type="dxa" w:w="7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2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Angular envía solicitud</w:t>
            </w:r>
          </w:p>
        </w:tc>
        <w:tc>
          <w:tcPr>
            <w:tcW w:type="dxa" w:w="590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POST /api/matrices-riesgos/reportes/exportar con el formato solicitado.</w:t>
            </w:r>
          </w:p>
        </w:tc>
      </w:tr>
      <w:tr>
        <w:tc>
          <w:tcPr>
            <w:tcW w:type="dxa" w:w="7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3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Backend obtiene reporte</w:t>
            </w:r>
          </w:p>
        </w:tc>
        <w:tc>
          <w:tcPr>
            <w:tcW w:type="dxa" w:w="590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Consulta Oracle con los mismos filtros del dashboard.</w:t>
            </w:r>
          </w:p>
        </w:tc>
      </w:tr>
      <w:tr>
        <w:tc>
          <w:tcPr>
            <w:tcW w:type="dxa" w:w="7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4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Backend construye archivo</w:t>
            </w:r>
          </w:p>
        </w:tc>
        <w:tc>
          <w:tcPr>
            <w:tcW w:type="dxa" w:w="590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Genera PDF o Excel con resumen, distribuciones, mapa y listados.</w:t>
            </w:r>
          </w:p>
        </w:tc>
      </w:tr>
      <w:tr>
        <w:tc>
          <w:tcPr>
            <w:tcW w:type="dxa" w:w="7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5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Auditoría registra exportación</w:t>
            </w:r>
          </w:p>
        </w:tc>
        <w:tc>
          <w:tcPr>
            <w:tcW w:type="dxa" w:w="590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Formato, usuario, correo, IP, fecha y filtros.</w:t>
            </w:r>
          </w:p>
        </w:tc>
      </w:tr>
      <w:tr>
        <w:tc>
          <w:tcPr>
            <w:tcW w:type="dxa" w:w="7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6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Angular descarga el blob</w:t>
            </w:r>
          </w:p>
        </w:tc>
        <w:tc>
          <w:tcPr>
            <w:tcW w:type="dxa" w:w="590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No recalcula ni reconstruye el contenido.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11. Contenido alineado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74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360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Salidas</w:t>
            </w:r>
          </w:p>
        </w:tc>
        <w:tc>
          <w:tcPr>
            <w:tcW w:type="dxa" w:w="172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Filtros aplicados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Total de matrices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Matrices evaluadas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Matrices sin evaluar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Distribución por estado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Distribución por sujeto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Mapa inherente y residual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Mapa de transición inherente → residual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Matrices filtradas y críticas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Planes de acción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PRUEBAS INTEGRALES Y QUALITY GATES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Resultados automatizados de la rama final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12. Resultado de validación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2376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28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Aprobadas / resultado</w:t>
            </w:r>
          </w:p>
        </w:tc>
        <w:tc>
          <w:tcPr>
            <w:tcW w:type="dxa" w:w="1152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Fallidas</w:t>
            </w:r>
          </w:p>
        </w:tc>
        <w:tc>
          <w:tcPr>
            <w:tcW w:type="dxa" w:w="10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Omitidas</w:t>
            </w:r>
          </w:p>
        </w:tc>
        <w:tc>
          <w:tcPr>
            <w:tcW w:type="dxa" w:w="172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Backend .NET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84</w:t>
            </w:r>
          </w:p>
        </w:tc>
        <w:tc>
          <w:tcPr>
            <w:tcW w:type="dxa" w:w="115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APROBADO</w:t>
            </w:r>
          </w:p>
        </w:tc>
      </w:tr>
      <w:tr>
        <w:tc>
          <w:tcPr>
            <w:tcW w:type="dxa" w:w="237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Frontend unitarias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146</w:t>
            </w:r>
          </w:p>
        </w:tc>
        <w:tc>
          <w:tcPr>
            <w:tcW w:type="dxa" w:w="115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APROBADO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Archivos de prueba frontend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14</w:t>
            </w:r>
          </w:p>
        </w:tc>
        <w:tc>
          <w:tcPr>
            <w:tcW w:type="dxa" w:w="115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APROBADO</w:t>
            </w:r>
          </w:p>
        </w:tc>
      </w:tr>
      <w:tr>
        <w:tc>
          <w:tcPr>
            <w:tcW w:type="dxa" w:w="237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E2E Playwright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7</w:t>
            </w:r>
          </w:p>
        </w:tc>
        <w:tc>
          <w:tcPr>
            <w:tcW w:type="dxa" w:w="115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APROBADO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Build Angular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Correcto</w:t>
            </w:r>
          </w:p>
        </w:tc>
        <w:tc>
          <w:tcPr>
            <w:tcW w:type="dxa" w:w="115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APROBADO</w:t>
            </w:r>
          </w:p>
        </w:tc>
      </w:tr>
      <w:tr>
        <w:tc>
          <w:tcPr>
            <w:tcW w:type="dxa" w:w="237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Quality Gates oficiales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Ejecución 29864022238</w:t>
            </w:r>
          </w:p>
        </w:tc>
        <w:tc>
          <w:tcPr>
            <w:tcW w:type="dxa" w:w="115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APROBADO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13. Cobertura registrada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8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Capa</w:t>
            </w:r>
          </w:p>
        </w:tc>
        <w:tc>
          <w:tcPr>
            <w:tcW w:type="dxa" w:w="316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Métrica</w:t>
            </w:r>
          </w:p>
        </w:tc>
        <w:tc>
          <w:tcPr>
            <w:tcW w:type="dxa" w:w="2016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Backend</w:t>
            </w:r>
          </w:p>
        </w:tc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Líneas</w:t>
            </w:r>
          </w:p>
        </w:tc>
        <w:tc>
          <w:tcPr>
            <w:tcW w:type="dxa" w:w="201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15.44%</w:t>
            </w:r>
          </w:p>
        </w:tc>
      </w:tr>
      <w:tr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Backend</w:t>
            </w:r>
          </w:p>
        </w:tc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Ramas</w:t>
            </w:r>
          </w:p>
        </w:tc>
        <w:tc>
          <w:tcPr>
            <w:tcW w:type="dxa" w:w="201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17.39%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Frontend</w:t>
            </w:r>
          </w:p>
        </w:tc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Sentencias</w:t>
            </w:r>
          </w:p>
        </w:tc>
        <w:tc>
          <w:tcPr>
            <w:tcW w:type="dxa" w:w="201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32.53%</w:t>
            </w:r>
          </w:p>
        </w:tc>
      </w:tr>
      <w:tr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Frontend</w:t>
            </w:r>
          </w:p>
        </w:tc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Ramas</w:t>
            </w:r>
          </w:p>
        </w:tc>
        <w:tc>
          <w:tcPr>
            <w:tcW w:type="dxa" w:w="201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27.94%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Frontend</w:t>
            </w:r>
          </w:p>
        </w:tc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Funciones</w:t>
            </w:r>
          </w:p>
        </w:tc>
        <w:tc>
          <w:tcPr>
            <w:tcW w:type="dxa" w:w="201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31.66%</w:t>
            </w:r>
          </w:p>
        </w:tc>
      </w:tr>
      <w:tr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Frontend</w:t>
            </w:r>
          </w:p>
        </w:tc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Líneas</w:t>
            </w:r>
          </w:p>
        </w:tc>
        <w:tc>
          <w:tcPr>
            <w:tcW w:type="dxa" w:w="201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32.79%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E8"/>
            <w:tcBorders>
              <w:top w:val="single" w:sz="10" w:color="D97706"/>
              <w:left w:val="single" w:sz="18" w:color="D97706"/>
              <w:bottom w:val="single" w:sz="10" w:color="D97706"/>
              <w:right w:val="single" w:sz="10" w:color="D97706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rFonts w:ascii="Aptos" w:hAnsi="Aptos" w:eastAsia="Aptos"/>
                <w:b/>
                <w:color w:val="D97706"/>
                <w:sz w:val="20"/>
              </w:rPr>
              <w:t>INTERPRETACIÓN DE COBERTURA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8"/>
              </w:rPr>
              <w:t>Los porcentajes se registran como línea base objetiva de cobertura. El cierre técnico se sustenta en la aprobación de las pruebas funcionales incorporadas, el build, los escenarios E2E y los Quality Gates. El incremento de cobertura global puede continuar como mejora transversal controlada, sin reabrir la Fase 12.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CONTROLES, RESTRICCIONES Y NO IMPACTO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Salvaguardas institucionales preservadas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14. Restricciones verificadas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16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46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Condición verificada</w:t>
            </w:r>
          </w:p>
        </w:tc>
        <w:tc>
          <w:tcPr>
            <w:tcW w:type="dxa" w:w="158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DNP</w:t>
            </w:r>
          </w:p>
        </w:tc>
        <w:tc>
          <w:tcPr>
            <w:tcW w:type="dxa" w:w="46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modificaciones</w:t>
            </w:r>
          </w:p>
        </w:tc>
        <w:tc>
          <w:tcPr>
            <w:tcW w:type="dxa" w:w="15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CONTROL_ALMACEN.PROVEEDOR</w:t>
            </w:r>
          </w:p>
        </w:tc>
        <w:tc>
          <w:tcPr>
            <w:tcW w:type="dxa" w:w="46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modificaciones</w:t>
            </w:r>
          </w:p>
        </w:tc>
        <w:tc>
          <w:tcPr>
            <w:tcW w:type="dxa" w:w="158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Monitoreo de Listas &lt;-&gt; Matrices</w:t>
            </w:r>
          </w:p>
        </w:tc>
        <w:tc>
          <w:tcPr>
            <w:tcW w:type="dxa" w:w="46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integración nueva</w:t>
            </w:r>
          </w:p>
        </w:tc>
        <w:tc>
          <w:tcPr>
            <w:tcW w:type="dxa" w:w="15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Cálculo de riesgo</w:t>
            </w:r>
          </w:p>
        </w:tc>
        <w:tc>
          <w:tcPr>
            <w:tcW w:type="dxa" w:w="46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Exclusivamente en backend</w:t>
            </w:r>
          </w:p>
        </w:tc>
        <w:tc>
          <w:tcPr>
            <w:tcW w:type="dxa" w:w="158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Datos del dashboard y mapa</w:t>
            </w:r>
          </w:p>
        </w:tc>
        <w:tc>
          <w:tcPr>
            <w:tcW w:type="dxa" w:w="46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datos quemados</w:t>
            </w:r>
          </w:p>
        </w:tc>
        <w:tc>
          <w:tcPr>
            <w:tcW w:type="dxa" w:w="15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Auditoría</w:t>
            </w:r>
          </w:p>
        </w:tc>
        <w:tc>
          <w:tcPr>
            <w:tcW w:type="dxa" w:w="46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Exportaciones y operaciones sensibles registradas</w:t>
            </w:r>
          </w:p>
        </w:tc>
        <w:tc>
          <w:tcPr>
            <w:tcW w:type="dxa" w:w="158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main</w:t>
            </w:r>
          </w:p>
        </w:tc>
        <w:tc>
          <w:tcPr>
            <w:tcW w:type="dxa" w:w="46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fusión durante el desarrollo</w:t>
            </w:r>
          </w:p>
        </w:tc>
        <w:tc>
          <w:tcPr>
            <w:tcW w:type="dxa" w:w="15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15. Archivos temporales y limpieza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Los workflows de integración y scripts auxiliares utilizados para aplicar y validar la Fase 12.4 fueron retirados antes de publicar el commit productivo. El PR principal contiene únicamente código productivo, pruebas, documentación y evidencia funcional.</w:t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16. Observaciones no bloqueantes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 cobertura global puede incrementarse en una iniciativa transversal posterior, sin alterar el cierre funcional aprobado.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Las pruebas de rendimiento con mayor volumen y red institucional pueden ejecutarse como validación operativa preproducción.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 integración a main debe realizarse únicamente después de la aprobación formal de Javier Mejía y de confirmar nuevamente la condición mergeable del PR #2.</w:t>
      </w:r>
    </w:p>
    <w:p>
      <w:pPr>
        <w:widowControl/>
      </w:pPr>
      <w:r>
        <w:rPr>
          <w:lang w:val="es-HN"/>
        </w:rPr>
        <w:br w:type="page"/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17. Trazabilidad técnica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52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Elemento</w:t>
            </w:r>
          </w:p>
        </w:tc>
        <w:tc>
          <w:tcPr>
            <w:tcW w:type="dxa" w:w="3672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Identificador</w:t>
            </w:r>
          </w:p>
        </w:tc>
        <w:tc>
          <w:tcPr>
            <w:tcW w:type="dxa" w:w="388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Finalidad / estado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Commit funcional Fase 12.3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ab019a9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Cobertura total y paleta del mapa.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Commit de control 12.3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061290d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Control de cobertura y rama limpia.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Commit funcional Fase 12.4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135b8885a324c268686193525b70cb9f2bfec33a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Alineación de reportería y exportaciones.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Commit de evidencia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a4ad05843236d84d33c81ae1a07105ebf3f1e17a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Registro de validación integral.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Commit de cierre documental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1fff981c01e0c5618d5de0d0db20a837e05df4b7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Consolidación del estado final.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Integración robusta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29863646296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Quality Gates aprobados y publicación limpia.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Control oficial independiente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29864022238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Quality Gates aprobados sobre la rama final.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Control final documental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29864474534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Quality Gates aprobados después del cierre documental.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PR principal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#2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Permanece abierto, en borrador y sin merge.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PR técnico temporal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#3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Cerrado sin merge.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CIERRE Y RECOMENDACIÓN FORMAL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Decisión pendiente del responsable funcional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18. Criterios de cierre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748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Criterio</w:t>
            </w:r>
          </w:p>
        </w:tc>
        <w:tc>
          <w:tcPr>
            <w:tcW w:type="dxa" w:w="194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Alcance funcional 12.1–12.4 implementado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Dashboard y mapa con datos reales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Todos los tipos de sujeto visibles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Matrices sin evaluación consideradas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PDF y Excel coherentes con filtros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Descarga exacta del archivo backend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Pruebas backend/frontend/E2E aprobadas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Build Angular aprobado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Quality Gates oficiales aprobados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Restricciones institucionales respetadas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Rama limpia de auxiliares temporales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Fusión a main realizada</w:t>
            </w:r>
          </w:p>
        </w:tc>
        <w:tc>
          <w:tcPr>
            <w:tcW w:type="dxa" w:w="1944"/>
            <w:shd w:fill="D9770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NO; PENDIENTE APROBACIÓN FORMAL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19. Recomendación técnica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6F0"/>
            <w:tcBorders>
              <w:top w:val="single" w:sz="10" w:color="1F8A5B"/>
              <w:left w:val="single" w:sz="18" w:color="1F8A5B"/>
              <w:bottom w:val="single" w:sz="10" w:color="1F8A5B"/>
              <w:right w:val="single" w:sz="10" w:color="1F8A5B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rFonts w:ascii="Aptos" w:hAnsi="Aptos" w:eastAsia="Aptos"/>
                <w:b/>
                <w:color w:val="1F8A5B"/>
                <w:sz w:val="20"/>
              </w:rPr>
              <w:t>RECOMENDACIÓN DE APROBACIÓN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8"/>
              </w:rPr>
              <w:t>Aprobar formalmente la Fase 12 del Módulo Matrices de Riesgos y autorizar, como acción posterior e independiente, la integración controlada del PR #2 a main. Antes de fusionar, debe confirmarse que el PR continúa mergeable y que el último Quality Gate se mantiene aprobado.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20. Declaración de cierre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Con la evidencia técnica disponible, la Fase 12 queda declarada técnicamente completada. Esta declaración no equivale a una aprobación institucional ni autoriza por sí sola la fusión a main. La aprobación formal corresponde a Javier Mejía y a las instancias institucionales que apliquen.</w:t>
      </w: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APROBACIÓN FORMAL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Registro de decisión del responsable funcional</w:t>
            </w:r>
          </w:p>
        </w:tc>
      </w:tr>
    </w:tbl>
    <w:p>
      <w:pPr>
        <w:widowControl/>
        <w:spacing w:after="0"/>
      </w:pP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Complete esta sección para autorizar o rechazar el cierre formal de la Fase 12. La aprobación constituye el requisito previo para integrar el PR #2 a main.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7"/>
              </w:rPr>
              <w:t>Decisión</w:t>
            </w:r>
          </w:p>
        </w:tc>
        <w:tc>
          <w:tcPr>
            <w:tcW w:type="dxa" w:w="5083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80"/>
            </w:pPr>
            <w:r>
              <w:rPr>
                <w:rFonts w:ascii="Aptos" w:hAnsi="Aptos" w:eastAsia="Aptos"/>
                <w:color w:val="1F2937"/>
                <w:sz w:val="17"/>
              </w:rPr>
              <w:t>☐ APROBADA   ☐ APROBADA CON OBSERVACIONES   ☐ NO APROBADA</w:t>
            </w:r>
          </w:p>
        </w:tc>
      </w:tr>
      <w:tr>
        <w:tc>
          <w:tcPr>
            <w:tcW w:type="dxa" w:w="5083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7"/>
              </w:rPr>
              <w:t>Observaciones</w:t>
            </w:r>
          </w:p>
        </w:tc>
        <w:tc>
          <w:tcPr>
            <w:tcW w:type="dxa" w:w="5083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240"/>
            </w:pPr>
            <w:r>
              <w:rPr>
                <w:rFonts w:ascii="Aptos" w:hAnsi="Aptos" w:eastAsia="Aptos"/>
                <w:color w:val="1F2937"/>
                <w:sz w:val="17"/>
              </w:rPr>
              <w:t>________________________________________________________________________________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c>
          <w:tcPr>
            <w:tcW w:type="dxa" w:w="5083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7"/>
              </w:rPr>
              <w:t>Firma y fecha</w:t>
            </w:r>
          </w:p>
        </w:tc>
        <w:tc>
          <w:tcPr>
            <w:tcW w:type="dxa" w:w="5083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240"/>
            </w:pPr>
            <w:r>
              <w:rPr>
                <w:rFonts w:ascii="Aptos" w:hAnsi="Aptos" w:eastAsia="Aptos"/>
                <w:color w:val="1F2937"/>
                <w:sz w:val="17"/>
              </w:rPr>
              <w:t>Javier Mejía: ________________________________      Fecha: ____ / ____ / 2026</w:t>
            </w:r>
          </w:p>
        </w:tc>
      </w:tr>
    </w:tbl>
    <w:p>
      <w:pPr>
        <w:widowControl/>
        <w:spacing w:before="280"/>
        <w:jc w:val="center"/>
      </w:pPr>
      <w:r>
        <w:rPr>
          <w:rFonts w:ascii="Aptos" w:hAnsi="Aptos" w:eastAsia="Aptos"/>
          <w:b/>
          <w:color w:val="173B7A"/>
          <w:sz w:val="18"/>
          <w:lang w:val="es-HN"/>
        </w:rPr>
        <w:t>FIN DEL DOCUMENTO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36" w:right="1037" w:bottom="864" w:left="1037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4896"/>
      <w:gridCol w:w="4896"/>
    </w:tblGrid>
    <w:tr>
      <w:tc>
        <w:tcPr>
          <w:tcW w:type="dxa" w:w="7056"/>
          <w:tcMar>
            <w:top w:w="0" w:type="dxa"/>
            <w:start w:w="0" w:type="dxa"/>
            <w:bottom w:w="0" w:type="dxa"/>
            <w:end w:w="0" w:type="dxa"/>
          </w:tcMar>
        </w:tcPr>
        <w:p>
          <w:r>
            <w:rPr>
              <w:rFonts w:ascii="Aptos" w:hAnsi="Aptos" w:eastAsia="Aptos"/>
              <w:color w:val="667085"/>
              <w:sz w:val="16"/>
            </w:rPr>
            <w:t>Documento de cierre técnico - Uso institucional</w:t>
          </w:r>
        </w:p>
      </w:tc>
      <w:tc>
        <w:tcPr>
          <w:tcW w:type="dxa" w:w="273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Aptos" w:hAnsi="Aptos" w:eastAsia="Aptos"/>
              <w:color w:val="667085"/>
              <w:sz w:val="16"/>
            </w:rPr>
            <w:t xml:space="preserve">Página </w:t>
            <w:fldChar w:fldCharType="begin"/>
            <w:instrText xml:space="preserve">PAGE</w:instrText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1" w:color="D9E1E8"/>
      </w:pBdr>
    </w:pPr>
    <w:r>
      <w:rPr>
        <w:rFonts w:ascii="Aptos" w:hAnsi="Aptos" w:eastAsia="Aptos"/>
        <w:b/>
        <w:color w:val="173B7A"/>
        <w:sz w:val="16"/>
      </w:rPr>
      <w:t>IHSS  |  Sistema de Gestión de Riesgos LA/FT  |  Módulo Matrices de Riesgos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B7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B7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B7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Cierre Técnico Fase 12 - Matrices de Riesgos</dc:title>
  <dc:subject>Sistema de Gestión de Riesgos de Lavado de Activos y Financiamiento del Terrorismo - IHSS</dc:subject>
  <dc:creator>Proyecto SGRLA/FT - IHSS</dc:creator>
  <cp:keywords>IHSS, LAFT, Matrices de Riesgos, Fase 12, Cierre Técnico</cp:keywords>
  <dc:description>Documento maestro de cierre técnico pendiente de aprobación formal.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