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Calibri" w:hAnsi="Calibri" w:eastAsia="Calibri"/>
          <w:b/>
          <w:i w:val="0"/>
          <w:color w:val="2E74B5"/>
          <w:sz w:val="20"/>
        </w:rPr>
        <w:t>EVIDENCIA DBA DE ALINEACIÓN CONTROLADA</w:t>
      </w:r>
    </w:p>
    <w:p>
      <w:pPr>
        <w:spacing w:after="80"/>
      </w:pPr>
      <w:r>
        <w:rPr>
          <w:rFonts w:ascii="Calibri" w:hAnsi="Calibri" w:eastAsia="Calibri"/>
          <w:b/>
          <w:i w:val="0"/>
          <w:color w:val="0B2545"/>
          <w:sz w:val="44"/>
        </w:rPr>
        <w:t>Estado EN_EVALUACION en RL_MR_MATRICES</w:t>
      </w:r>
    </w:p>
    <w:p>
      <w:r>
        <w:rPr>
          <w:rFonts w:ascii="Calibri" w:hAnsi="Calibri" w:eastAsia="Calibri"/>
          <w:b w:val="0"/>
          <w:i w:val="0"/>
          <w:color w:val="595959"/>
          <w:sz w:val="20"/>
        </w:rPr>
        <w:t>Fase 3. Modelo de datos y arquitectura Oracle | Módulo 3. Matrices de Riesgos | Fecha: 03/07/2026</w:t>
      </w:r>
    </w:p>
    <w:p>
      <w:pPr>
        <w:pStyle w:val="Heading1"/>
      </w:pPr>
      <w:r>
        <w:t>1. Propósito</w:t>
      </w:r>
    </w:p>
    <w:p>
      <w:r>
        <w:t>Documentar la corrección controlada realizada para alinear el estado funcional EN_EVALUACION de Fase 4 con la restricción física CK_RL_MR_MAT_ESTADO de la tabla RL_MR_MATRICES en el modelo Oracle de Fase 3.</w:t>
      </w:r>
    </w:p>
    <w:p>
      <w:pPr>
        <w:pStyle w:val="Heading1"/>
      </w:pPr>
      <w:r>
        <w:t>2. Resumen ejecutivo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2500"/>
        <w:gridCol w:w="6860"/>
      </w:tblGrid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rFonts w:ascii="Calibri" w:hAnsi="Calibri" w:eastAsia="Calibri"/>
                <w:b/>
                <w:i w:val="0"/>
                <w:color w:val="0B2545"/>
                <w:sz w:val="21"/>
              </w:rPr>
              <w:t>Elemento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rFonts w:ascii="Calibri" w:hAnsi="Calibri" w:eastAsia="Calibri"/>
                <w:b/>
                <w:i w:val="0"/>
                <w:color w:val="0B2545"/>
                <w:sz w:val="21"/>
              </w:rPr>
              <w:t>Resultado</w:t>
            </w:r>
          </w:p>
        </w:tc>
      </w:tr>
      <w:tr>
        <w:tc>
          <w:tcPr>
            <w:tcW w:type="dxa" w:w="2500"/>
          </w:tcPr>
          <w:p>
            <w:r>
              <w:rPr>
                <w:rFonts w:ascii="Calibri" w:hAnsi="Calibri" w:eastAsia="Calibri"/>
                <w:b w:val="0"/>
                <w:i w:val="0"/>
                <w:color w:val="0B2545"/>
                <w:sz w:val="19"/>
              </w:rPr>
              <w:t>Base validada</w:t>
            </w:r>
          </w:p>
        </w:tc>
        <w:tc>
          <w:tcPr>
            <w:tcW w:type="dxa" w:w="6860"/>
          </w:tcPr>
          <w:p>
            <w:r>
              <w:rPr>
                <w:rFonts w:ascii="Calibri" w:hAnsi="Calibri" w:eastAsia="Calibri"/>
                <w:b w:val="0"/>
                <w:i w:val="0"/>
                <w:color w:val="0B2545"/>
                <w:sz w:val="19"/>
              </w:rPr>
              <w:t>RIESGO_LAVADO.</w:t>
            </w:r>
          </w:p>
        </w:tc>
      </w:tr>
      <w:tr>
        <w:tc>
          <w:tcPr>
            <w:tcW w:type="dxa" w:w="2500"/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B2545"/>
                <w:sz w:val="19"/>
              </w:rPr>
              <w:t>Tabla</w:t>
            </w:r>
          </w:p>
        </w:tc>
        <w:tc>
          <w:tcPr>
            <w:tcW w:type="dxa" w:w="6860"/>
          </w:tcPr>
          <w:p>
            <w:r>
              <w:rPr>
                <w:rFonts w:ascii="Calibri" w:hAnsi="Calibri" w:eastAsia="Calibri"/>
                <w:b w:val="0"/>
                <w:i w:val="0"/>
                <w:color w:val="0B2545"/>
                <w:sz w:val="19"/>
              </w:rPr>
              <w:t>RL_MR_MATRICES.</w:t>
            </w:r>
          </w:p>
        </w:tc>
      </w:tr>
      <w:tr>
        <w:tc>
          <w:tcPr>
            <w:tcW w:type="dxa" w:w="2500"/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B2545"/>
                <w:sz w:val="19"/>
              </w:rPr>
              <w:t>Restricción</w:t>
            </w:r>
          </w:p>
        </w:tc>
        <w:tc>
          <w:tcPr>
            <w:tcW w:type="dxa" w:w="6860"/>
          </w:tcPr>
          <w:p>
            <w:r>
              <w:rPr>
                <w:rFonts w:ascii="Calibri" w:hAnsi="Calibri" w:eastAsia="Calibri"/>
                <w:b w:val="0"/>
                <w:i w:val="0"/>
                <w:color w:val="0B2545"/>
                <w:sz w:val="19"/>
              </w:rPr>
              <w:t>CK_RL_MR_MAT_ESTADO.</w:t>
            </w:r>
          </w:p>
        </w:tc>
      </w:tr>
      <w:tr>
        <w:tc>
          <w:tcPr>
            <w:tcW w:type="dxa" w:w="2500"/>
          </w:tcPr>
          <w:p>
            <w:r>
              <w:rPr>
                <w:rFonts w:ascii="Calibri" w:hAnsi="Calibri" w:eastAsia="Calibri"/>
                <w:b w:val="0"/>
                <w:i w:val="0"/>
                <w:color w:val="0B2545"/>
                <w:sz w:val="19"/>
              </w:rPr>
              <w:t>Estado incorporado</w:t>
            </w:r>
          </w:p>
        </w:tc>
        <w:tc>
          <w:tcPr>
            <w:tcW w:type="dxa" w:w="6860"/>
          </w:tcPr>
          <w:p>
            <w:r>
              <w:rPr>
                <w:rFonts w:ascii="Calibri" w:hAnsi="Calibri" w:eastAsia="Calibri"/>
                <w:b w:val="0"/>
                <w:i w:val="0"/>
                <w:color w:val="0B2545"/>
                <w:sz w:val="19"/>
              </w:rPr>
              <w:t>EN_EVALUACION.</w:t>
            </w:r>
          </w:p>
        </w:tc>
      </w:tr>
      <w:tr>
        <w:tc>
          <w:tcPr>
            <w:tcW w:type="dxa" w:w="2500"/>
          </w:tcPr>
          <w:p>
            <w:r>
              <w:rPr>
                <w:rFonts w:ascii="Calibri" w:hAnsi="Calibri" w:eastAsia="Calibri"/>
                <w:b w:val="0"/>
                <w:i w:val="0"/>
                <w:color w:val="0B2545"/>
                <w:sz w:val="19"/>
              </w:rPr>
              <w:t>Tipo de acción</w:t>
            </w:r>
          </w:p>
        </w:tc>
        <w:tc>
          <w:tcPr>
            <w:tcW w:type="dxa" w:w="6860"/>
          </w:tcPr>
          <w:p>
            <w:r>
              <w:rPr>
                <w:rFonts w:ascii="Calibri" w:hAnsi="Calibri" w:eastAsia="Calibri"/>
                <w:b w:val="0"/>
                <w:i w:val="0"/>
                <w:color w:val="0B2545"/>
                <w:sz w:val="19"/>
              </w:rPr>
              <w:t>Cambio estructural controlado sobre restricción CHECK; sin eliminación de datos.</w:t>
            </w:r>
          </w:p>
        </w:tc>
      </w:tr>
      <w:tr>
        <w:tc>
          <w:tcPr>
            <w:tcW w:type="dxa" w:w="2500"/>
          </w:tcPr>
          <w:p>
            <w:r>
              <w:rPr>
                <w:rFonts w:ascii="Calibri" w:hAnsi="Calibri" w:eastAsia="Calibri"/>
                <w:b w:val="0"/>
                <w:i w:val="0"/>
                <w:color w:val="0B2545"/>
                <w:sz w:val="19"/>
              </w:rPr>
              <w:t>Script ejecutado</w:t>
            </w:r>
          </w:p>
        </w:tc>
        <w:tc>
          <w:tcPr>
            <w:tcW w:type="dxa" w:w="6860"/>
          </w:tcPr>
          <w:p>
            <w:r>
              <w:rPr>
                <w:rFonts w:ascii="Calibri" w:hAnsi="Calibri" w:eastAsia="Calibri"/>
                <w:b w:val="0"/>
                <w:i w:val="0"/>
                <w:color w:val="0B2545"/>
                <w:sz w:val="19"/>
              </w:rPr>
              <w:t>05_F3_align_estado_en_evaluacion_matrices.sql.</w:t>
            </w:r>
          </w:p>
        </w:tc>
      </w:tr>
      <w:tr>
        <w:tc>
          <w:tcPr>
            <w:tcW w:type="dxa" w:w="2500"/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B2545"/>
                <w:sz w:val="19"/>
              </w:rPr>
              <w:t>Responsable</w:t>
            </w:r>
          </w:p>
        </w:tc>
        <w:tc>
          <w:tcPr>
            <w:tcW w:type="dxa" w:w="6860"/>
          </w:tcPr>
          <w:p>
            <w:r>
              <w:rPr>
                <w:rFonts w:ascii="Calibri" w:hAnsi="Calibri" w:eastAsia="Calibri"/>
                <w:b w:val="0"/>
                <w:i w:val="0"/>
                <w:color w:val="0B2545"/>
                <w:sz w:val="19"/>
              </w:rPr>
              <w:t>Javier Mejía.</w:t>
            </w:r>
          </w:p>
        </w:tc>
      </w:tr>
      <w:tr>
        <w:tc>
          <w:tcPr>
            <w:tcW w:type="dxa" w:w="2500"/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B2545"/>
                <w:sz w:val="19"/>
              </w:rPr>
              <w:t>Resultado</w:t>
            </w:r>
          </w:p>
        </w:tc>
        <w:tc>
          <w:tcPr>
            <w:tcW w:type="dxa" w:w="6860"/>
          </w:tcPr>
          <w:p>
            <w:r>
              <w:rPr>
                <w:rFonts w:ascii="Calibri" w:hAnsi="Calibri" w:eastAsia="Calibri"/>
                <w:b w:val="0"/>
                <w:i w:val="0"/>
                <w:color w:val="0B2545"/>
                <w:sz w:val="19"/>
              </w:rPr>
              <w:t>Restricción alineada correctamente; EN_EVALUACION presente; sin objetos inválidos reportados.</w:t>
            </w:r>
          </w:p>
        </w:tc>
      </w:tr>
    </w:tbl>
    <w:p>
      <w:pPr>
        <w:pStyle w:val="Heading1"/>
      </w:pPr>
      <w:r>
        <w:t>3. Validaciones realizadas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3000"/>
        <w:gridCol w:w="6360"/>
      </w:tblGrid>
      <w:t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r>
              <w:rPr>
                <w:rFonts w:ascii="Calibri" w:hAnsi="Calibri" w:eastAsia="Calibri"/>
                <w:b/>
                <w:i w:val="0"/>
                <w:color w:val="0B2545"/>
                <w:sz w:val="21"/>
              </w:rPr>
              <w:t>Validación</w:t>
            </w:r>
          </w:p>
        </w:tc>
        <w:tc>
          <w:tcPr>
            <w:tcW w:type="dxa" w:w="6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r>
              <w:rPr>
                <w:rFonts w:ascii="Calibri" w:hAnsi="Calibri" w:eastAsia="Calibri"/>
                <w:b/>
                <w:i w:val="0"/>
                <w:color w:val="0B2545"/>
                <w:sz w:val="21"/>
              </w:rPr>
              <w:t>Resultado</w:t>
            </w:r>
          </w:p>
        </w:tc>
      </w:tr>
      <w:tr>
        <w:tc>
          <w:tcPr>
            <w:tcW w:type="dxa" w:w="3000"/>
          </w:tcPr>
          <w:p>
            <w:r>
              <w:rPr>
                <w:rFonts w:ascii="Calibri" w:hAnsi="Calibri" w:eastAsia="Calibri"/>
                <w:b w:val="0"/>
                <w:i w:val="0"/>
                <w:color w:val="0B2545"/>
                <w:sz w:val="19"/>
              </w:rPr>
              <w:t>Estados existentes</w:t>
            </w:r>
          </w:p>
        </w:tc>
        <w:tc>
          <w:tcPr>
            <w:tcW w:type="dxa" w:w="6360"/>
          </w:tcPr>
          <w:p>
            <w:r>
              <w:rPr>
                <w:rFonts w:ascii="Calibri" w:hAnsi="Calibri" w:eastAsia="Calibri"/>
                <w:b w:val="0"/>
                <w:i w:val="0"/>
                <w:color w:val="0B2545"/>
                <w:sz w:val="19"/>
              </w:rPr>
              <w:t>Se validó que no existieran estados incompatibles antes de recrear la restricción.</w:t>
            </w:r>
          </w:p>
        </w:tc>
      </w:tr>
      <w:tr>
        <w:tc>
          <w:tcPr>
            <w:tcW w:type="dxa" w:w="3000"/>
          </w:tcPr>
          <w:p>
            <w:r>
              <w:rPr>
                <w:rFonts w:ascii="Calibri" w:hAnsi="Calibri" w:eastAsia="Calibri"/>
                <w:b w:val="0"/>
                <w:i w:val="0"/>
                <w:color w:val="0B2545"/>
                <w:sz w:val="19"/>
              </w:rPr>
              <w:t>Restricción física</w:t>
            </w:r>
          </w:p>
        </w:tc>
        <w:tc>
          <w:tcPr>
            <w:tcW w:type="dxa" w:w="6360"/>
          </w:tcPr>
          <w:p>
            <w:r>
              <w:rPr>
                <w:rFonts w:ascii="Calibri" w:hAnsi="Calibri" w:eastAsia="Calibri"/>
                <w:b w:val="0"/>
                <w:i w:val="0"/>
                <w:color w:val="0B2545"/>
                <w:sz w:val="19"/>
              </w:rPr>
              <w:t>Se recreó CK_RL_MR_MAT_ESTADO incorporando EN_EVALUACION.</w:t>
            </w:r>
          </w:p>
        </w:tc>
      </w:tr>
      <w:tr>
        <w:tc>
          <w:tcPr>
            <w:tcW w:type="dxa" w:w="3000"/>
          </w:tcPr>
          <w:p>
            <w:r>
              <w:rPr>
                <w:rFonts w:ascii="Calibri" w:hAnsi="Calibri" w:eastAsia="Calibri"/>
                <w:b w:val="0"/>
                <w:i w:val="0"/>
                <w:color w:val="0B2545"/>
                <w:sz w:val="19"/>
              </w:rPr>
              <w:t>Presencia del estado</w:t>
            </w:r>
          </w:p>
        </w:tc>
        <w:tc>
          <w:tcPr>
            <w:tcW w:type="dxa" w:w="6360"/>
          </w:tcPr>
          <w:p>
            <w:r>
              <w:rPr>
                <w:rFonts w:ascii="Calibri" w:hAnsi="Calibri" w:eastAsia="Calibri"/>
                <w:b w:val="0"/>
                <w:i w:val="0"/>
                <w:color w:val="0B2545"/>
                <w:sz w:val="19"/>
              </w:rPr>
              <w:t>La consulta posterior devolvió SI para EN_EVALUACION_PRESENTE.</w:t>
            </w:r>
          </w:p>
        </w:tc>
      </w:tr>
      <w:tr>
        <w:tc>
          <w:tcPr>
            <w:tcW w:type="dxa" w:w="3000"/>
          </w:tcPr>
          <w:p>
            <w:r>
              <w:rPr>
                <w:rFonts w:ascii="Calibri" w:hAnsi="Calibri" w:eastAsia="Calibri"/>
                <w:b w:val="0"/>
                <w:i w:val="0"/>
                <w:color w:val="0B2545"/>
                <w:sz w:val="19"/>
              </w:rPr>
              <w:t>Datos productivos</w:t>
            </w:r>
          </w:p>
        </w:tc>
        <w:tc>
          <w:tcPr>
            <w:tcW w:type="dxa" w:w="6360"/>
          </w:tcPr>
          <w:p>
            <w:r>
              <w:rPr>
                <w:rFonts w:ascii="Calibri" w:hAnsi="Calibri" w:eastAsia="Calibri"/>
                <w:b w:val="0"/>
                <w:i w:val="0"/>
                <w:color w:val="0B2545"/>
                <w:sz w:val="19"/>
              </w:rPr>
              <w:t>No se ejecutaron DROP, TRUNCATE ni DELETE de tablas o datos.</w:t>
            </w:r>
          </w:p>
        </w:tc>
      </w:tr>
      <w:tr>
        <w:tc>
          <w:tcPr>
            <w:tcW w:type="dxa" w:w="3000"/>
          </w:tcPr>
          <w:p>
            <w:r>
              <w:rPr>
                <w:rFonts w:ascii="Calibri" w:hAnsi="Calibri" w:eastAsia="Calibri"/>
                <w:b w:val="0"/>
                <w:i w:val="0"/>
                <w:color w:val="0B2545"/>
                <w:sz w:val="19"/>
              </w:rPr>
              <w:t>Objetos inválidos</w:t>
            </w:r>
          </w:p>
        </w:tc>
        <w:tc>
          <w:tcPr>
            <w:tcW w:type="dxa" w:w="6360"/>
          </w:tcPr>
          <w:p>
            <w:r>
              <w:rPr>
                <w:rFonts w:ascii="Calibri" w:hAnsi="Calibri" w:eastAsia="Calibri"/>
                <w:b w:val="0"/>
                <w:i w:val="0"/>
                <w:color w:val="0B2545"/>
                <w:sz w:val="19"/>
              </w:rPr>
              <w:t>La validación posterior no reportó objetos inválidos.</w:t>
            </w:r>
          </w:p>
        </w:tc>
      </w:tr>
    </w:tbl>
    <w:p>
      <w:pPr>
        <w:pStyle w:val="Heading1"/>
      </w:pPr>
      <w:r>
        <w:t>4. Conclusión DBA</w:t>
      </w:r>
    </w:p>
    <w:p>
      <w:r>
        <w:rPr>
          <w:rFonts w:ascii="Calibri" w:hAnsi="Calibri" w:eastAsia="Calibri"/>
          <w:b w:val="0"/>
          <w:i w:val="0"/>
          <w:color w:val="0B2545"/>
          <w:sz w:val="21"/>
        </w:rPr>
        <w:t>La observación queda corregida. El flujo funcional de Fase 4 puede conservar el estado EN_EVALUACION, porque el modelo físico de Fase 3 ya lo permite en la restricción CK_RL_MR_MAT_ESTADO. Esta evidencia no autoriza cambios adicionales en producción sin aprobación institucional y protocolo DBA.</w:t>
      </w:r>
    </w:p>
    <w:p>
      <w:pPr>
        <w:pStyle w:val="Heading1"/>
      </w:pPr>
      <w:r>
        <w:t>5. Salida SQLPlus registrada</w:t>
      </w:r>
    </w:p>
    <w:p>
      <w:pPr>
        <w:spacing w:before="80" w:after="160"/>
        <w:ind w:left="216" w:right="216"/>
      </w:pPr>
      <w:r>
        <w:rPr>
          <w:rFonts w:ascii="Consolas" w:hAnsi="Consolas" w:eastAsia="Consolas"/>
          <w:b w:val="0"/>
          <w:i w:val="0"/>
          <w:color w:val="0B2545"/>
          <w:sz w:val="17"/>
        </w:rPr>
        <w:t>ÿþValidando estados existentes en RL_MR_MATRICES...</w:t>
      </w:r>
      <w:r>
        <w:br/>
      </w:r>
      <w:r>
        <w:rPr>
          <w:rFonts w:ascii="Consolas" w:hAnsi="Consolas" w:eastAsia="Consolas"/>
          <w:b w:val="0"/>
          <w:i w:val="0"/>
          <w:color w:val="0B2545"/>
          <w:sz w:val="17"/>
        </w:rPr>
      </w:r>
      <w:r>
        <w:br/>
      </w:r>
      <w:r>
        <w:rPr>
          <w:rFonts w:ascii="Consolas" w:hAnsi="Consolas" w:eastAsia="Consolas"/>
          <w:b w:val="0"/>
          <w:i w:val="0"/>
          <w:color w:val="0B2545"/>
          <w:sz w:val="17"/>
        </w:rPr>
        <w:t>Restriccion CK_RL_MR_MAT_ESTADO alineada correctamente.</w:t>
      </w:r>
      <w:r>
        <w:br/>
      </w:r>
      <w:r>
        <w:rPr>
          <w:rFonts w:ascii="Consolas" w:hAnsi="Consolas" w:eastAsia="Consolas"/>
          <w:b w:val="0"/>
          <w:i w:val="0"/>
          <w:color w:val="0B2545"/>
          <w:sz w:val="17"/>
        </w:rPr>
      </w:r>
      <w:r>
        <w:br/>
      </w:r>
      <w:r>
        <w:rPr>
          <w:rFonts w:ascii="Consolas" w:hAnsi="Consolas" w:eastAsia="Consolas"/>
          <w:b w:val="0"/>
          <w:i w:val="0"/>
          <w:color w:val="0B2545"/>
          <w:sz w:val="17"/>
        </w:rPr>
      </w:r>
      <w:r>
        <w:br/>
      </w:r>
      <w:r>
        <w:rPr>
          <w:rFonts w:ascii="Consolas" w:hAnsi="Consolas" w:eastAsia="Consolas"/>
          <w:b w:val="0"/>
          <w:i w:val="0"/>
          <w:color w:val="0B2545"/>
          <w:sz w:val="17"/>
        </w:rPr>
      </w:r>
      <w:r>
        <w:br/>
      </w:r>
      <w:r>
        <w:rPr>
          <w:rFonts w:ascii="Consolas" w:hAnsi="Consolas" w:eastAsia="Consolas"/>
          <w:b w:val="0"/>
          <w:i w:val="0"/>
          <w:color w:val="0B2545"/>
          <w:sz w:val="17"/>
        </w:rPr>
        <w:t>PL/SQL procedure successfully completed.</w:t>
      </w:r>
      <w:r>
        <w:br/>
      </w:r>
      <w:r>
        <w:rPr>
          <w:rFonts w:ascii="Consolas" w:hAnsi="Consolas" w:eastAsia="Consolas"/>
          <w:b w:val="0"/>
          <w:i w:val="0"/>
          <w:color w:val="0B2545"/>
          <w:sz w:val="17"/>
        </w:rPr>
      </w:r>
      <w:r>
        <w:br/>
      </w:r>
      <w:r>
        <w:rPr>
          <w:rFonts w:ascii="Consolas" w:hAnsi="Consolas" w:eastAsia="Consolas"/>
          <w:b w:val="0"/>
          <w:i w:val="0"/>
          <w:color w:val="0B2545"/>
          <w:sz w:val="17"/>
        </w:rPr>
      </w:r>
      <w:r>
        <w:br/>
      </w:r>
      <w:r>
        <w:rPr>
          <w:rFonts w:ascii="Consolas" w:hAnsi="Consolas" w:eastAsia="Consolas"/>
          <w:b w:val="0"/>
          <w:i w:val="0"/>
          <w:color w:val="0B2545"/>
          <w:sz w:val="17"/>
        </w:rPr>
      </w:r>
      <w:r>
        <w:br/>
      </w:r>
      <w:r>
        <w:rPr>
          <w:rFonts w:ascii="Consolas" w:hAnsi="Consolas" w:eastAsia="Consolas"/>
          <w:b w:val="0"/>
          <w:i w:val="0"/>
          <w:color w:val="0B2545"/>
          <w:sz w:val="17"/>
        </w:rPr>
      </w:r>
      <w:r>
        <w:br/>
      </w:r>
      <w:r>
        <w:rPr>
          <w:rFonts w:ascii="Consolas" w:hAnsi="Consolas" w:eastAsia="Consolas"/>
          <w:b w:val="0"/>
          <w:i w:val="0"/>
          <w:color w:val="0B2545"/>
          <w:sz w:val="17"/>
        </w:rPr>
      </w:r>
      <w:r>
        <w:br/>
      </w:r>
      <w:r>
        <w:rPr>
          <w:rFonts w:ascii="Consolas" w:hAnsi="Consolas" w:eastAsia="Consolas"/>
          <w:b w:val="0"/>
          <w:i w:val="0"/>
          <w:color w:val="0B2545"/>
          <w:sz w:val="17"/>
        </w:rPr>
        <w:t>Commit complete.</w:t>
      </w:r>
      <w:r>
        <w:br/>
      </w:r>
      <w:r>
        <w:rPr>
          <w:rFonts w:ascii="Consolas" w:hAnsi="Consolas" w:eastAsia="Consolas"/>
          <w:b w:val="0"/>
          <w:i w:val="0"/>
          <w:color w:val="0B2545"/>
          <w:sz w:val="17"/>
        </w:rPr>
      </w:r>
      <w:r>
        <w:br/>
      </w:r>
      <w:r>
        <w:rPr>
          <w:rFonts w:ascii="Consolas" w:hAnsi="Consolas" w:eastAsia="Consolas"/>
          <w:b w:val="0"/>
          <w:i w:val="0"/>
          <w:color w:val="0B2545"/>
          <w:sz w:val="17"/>
        </w:rPr>
      </w:r>
      <w:r>
        <w:br/>
      </w:r>
      <w:r>
        <w:rPr>
          <w:rFonts w:ascii="Consolas" w:hAnsi="Consolas" w:eastAsia="Consolas"/>
          <w:b w:val="0"/>
          <w:i w:val="0"/>
          <w:color w:val="0B2545"/>
          <w:sz w:val="17"/>
        </w:rPr>
      </w:r>
      <w:r>
        <w:br/>
      </w:r>
      <w:r>
        <w:rPr>
          <w:rFonts w:ascii="Consolas" w:hAnsi="Consolas" w:eastAsia="Consolas"/>
          <w:b w:val="0"/>
          <w:i w:val="0"/>
          <w:color w:val="0B2545"/>
          <w:sz w:val="17"/>
        </w:rPr>
        <w:t>Validacion posterior...</w:t>
      </w:r>
      <w:r>
        <w:br/>
      </w:r>
      <w:r>
        <w:rPr>
          <w:rFonts w:ascii="Consolas" w:hAnsi="Consolas" w:eastAsia="Consolas"/>
          <w:b w:val="0"/>
          <w:i w:val="0"/>
          <w:color w:val="0B2545"/>
          <w:sz w:val="17"/>
        </w:rPr>
      </w:r>
      <w:r>
        <w:br/>
      </w:r>
      <w:r>
        <w:rPr>
          <w:rFonts w:ascii="Consolas" w:hAnsi="Consolas" w:eastAsia="Consolas"/>
          <w:b w:val="0"/>
          <w:i w:val="0"/>
          <w:color w:val="0B2545"/>
          <w:sz w:val="17"/>
        </w:rPr>
      </w:r>
      <w:r>
        <w:br/>
      </w:r>
      <w:r>
        <w:rPr>
          <w:rFonts w:ascii="Consolas" w:hAnsi="Consolas" w:eastAsia="Consolas"/>
          <w:b w:val="0"/>
          <w:i w:val="0"/>
          <w:color w:val="0B2545"/>
          <w:sz w:val="17"/>
        </w:rPr>
      </w:r>
      <w:r>
        <w:br/>
      </w:r>
      <w:r>
        <w:rPr>
          <w:rFonts w:ascii="Consolas" w:hAnsi="Consolas" w:eastAsia="Consolas"/>
          <w:b w:val="0"/>
          <w:i w:val="0"/>
          <w:color w:val="0B2545"/>
          <w:sz w:val="17"/>
        </w:rPr>
        <w:t>EN</w:t>
      </w:r>
      <w:r>
        <w:br/>
      </w:r>
      <w:r>
        <w:rPr>
          <w:rFonts w:ascii="Consolas" w:hAnsi="Consolas" w:eastAsia="Consolas"/>
          <w:b w:val="0"/>
          <w:i w:val="0"/>
          <w:color w:val="0B2545"/>
          <w:sz w:val="17"/>
        </w:rPr>
      </w:r>
      <w:r>
        <w:br/>
      </w:r>
      <w:r>
        <w:rPr>
          <w:rFonts w:ascii="Consolas" w:hAnsi="Consolas" w:eastAsia="Consolas"/>
          <w:b w:val="0"/>
          <w:i w:val="0"/>
          <w:color w:val="0B2545"/>
          <w:sz w:val="17"/>
        </w:rPr>
        <w:t>--</w:t>
      </w:r>
      <w:r>
        <w:br/>
      </w:r>
      <w:r>
        <w:rPr>
          <w:rFonts w:ascii="Consolas" w:hAnsi="Consolas" w:eastAsia="Consolas"/>
          <w:b w:val="0"/>
          <w:i w:val="0"/>
          <w:color w:val="0B2545"/>
          <w:sz w:val="17"/>
        </w:rPr>
      </w:r>
      <w:r>
        <w:br/>
      </w:r>
      <w:r>
        <w:rPr>
          <w:rFonts w:ascii="Consolas" w:hAnsi="Consolas" w:eastAsia="Consolas"/>
          <w:b w:val="0"/>
          <w:i w:val="0"/>
          <w:color w:val="0B2545"/>
          <w:sz w:val="17"/>
        </w:rPr>
        <w:t>SI</w:t>
      </w:r>
      <w:r>
        <w:br/>
      </w:r>
      <w:r>
        <w:rPr>
          <w:rFonts w:ascii="Consolas" w:hAnsi="Consolas" w:eastAsia="Consolas"/>
          <w:b w:val="0"/>
          <w:i w:val="0"/>
          <w:color w:val="0B2545"/>
          <w:sz w:val="17"/>
        </w:rPr>
      </w:r>
      <w:r>
        <w:br/>
      </w:r>
      <w:r>
        <w:rPr>
          <w:rFonts w:ascii="Consolas" w:hAnsi="Consolas" w:eastAsia="Consolas"/>
          <w:b w:val="0"/>
          <w:i w:val="0"/>
          <w:color w:val="0B2545"/>
          <w:sz w:val="17"/>
        </w:rPr>
      </w:r>
      <w:r>
        <w:br/>
      </w:r>
      <w:r>
        <w:rPr>
          <w:rFonts w:ascii="Consolas" w:hAnsi="Consolas" w:eastAsia="Consolas"/>
          <w:b w:val="0"/>
          <w:i w:val="0"/>
          <w:color w:val="0B2545"/>
          <w:sz w:val="17"/>
        </w:rPr>
      </w:r>
      <w:r>
        <w:br/>
      </w:r>
      <w:r>
        <w:rPr>
          <w:rFonts w:ascii="Consolas" w:hAnsi="Consolas" w:eastAsia="Consolas"/>
          <w:b w:val="0"/>
          <w:i w:val="0"/>
          <w:color w:val="0B2545"/>
          <w:sz w:val="17"/>
        </w:rPr>
      </w:r>
      <w:r>
        <w:br/>
      </w:r>
      <w:r>
        <w:rPr>
          <w:rFonts w:ascii="Consolas" w:hAnsi="Consolas" w:eastAsia="Consolas"/>
          <w:b w:val="0"/>
          <w:i w:val="0"/>
          <w:color w:val="0B2545"/>
          <w:sz w:val="17"/>
        </w:rPr>
      </w:r>
      <w:r>
        <w:br/>
      </w:r>
      <w:r>
        <w:rPr>
          <w:rFonts w:ascii="Consolas" w:hAnsi="Consolas" w:eastAsia="Consolas"/>
          <w:b w:val="0"/>
          <w:i w:val="0"/>
          <w:color w:val="0B2545"/>
          <w:sz w:val="17"/>
        </w:rPr>
        <w:t>no rows selected</w:t>
      </w:r>
      <w:r>
        <w:br/>
      </w:r>
      <w:r>
        <w:rPr>
          <w:rFonts w:ascii="Consolas" w:hAnsi="Consolas" w:eastAsia="Consolas"/>
          <w:b w:val="0"/>
          <w:i w:val="0"/>
          <w:color w:val="0B2545"/>
          <w:sz w:val="17"/>
        </w:rPr>
      </w:r>
      <w:r>
        <w:br/>
      </w:r>
      <w:r>
        <w:rPr>
          <w:rFonts w:ascii="Consolas" w:hAnsi="Consolas" w:eastAsia="Consolas"/>
          <w:b w:val="0"/>
          <w:i w:val="0"/>
          <w:color w:val="0B2545"/>
          <w:sz w:val="17"/>
        </w:rPr>
      </w:r>
      <w:r>
        <w:br/>
      </w:r>
      <w:r>
        <w:rPr>
          <w:rFonts w:ascii="Consolas" w:hAnsi="Consolas" w:eastAsia="Consolas"/>
          <w:b w:val="0"/>
          <w:i w:val="0"/>
          <w:color w:val="0B2545"/>
          <w:sz w:val="17"/>
        </w:rPr>
      </w:r>
      <w:r>
        <w:br/>
      </w:r>
      <w:r>
        <w:rPr>
          <w:rFonts w:ascii="Consolas" w:hAnsi="Consolas" w:eastAsia="Consolas"/>
          <w:b w:val="0"/>
          <w:i w:val="0"/>
          <w:color w:val="0B2545"/>
          <w:sz w:val="17"/>
        </w:rPr>
      </w:r>
      <w:r>
        <w:br/>
      </w:r>
      <w:r>
        <w:rPr>
          <w:rFonts w:ascii="Consolas" w:hAnsi="Consolas" w:eastAsia="Consolas"/>
          <w:b w:val="0"/>
          <w:i w:val="0"/>
          <w:color w:val="0B2545"/>
          <w:sz w:val="17"/>
        </w:rPr>
      </w:r>
      <w:r>
        <w:br/>
      </w:r>
      <w:r>
        <w:rPr>
          <w:rFonts w:ascii="Consolas" w:hAnsi="Consolas" w:eastAsia="Consolas"/>
          <w:b w:val="0"/>
          <w:i w:val="0"/>
          <w:color w:val="0B2545"/>
          <w:sz w:val="17"/>
        </w:rPr>
        <w:t>no rows selected</w:t>
      </w:r>
      <w:r>
        <w:br/>
      </w:r>
      <w:r>
        <w:rPr>
          <w:rFonts w:ascii="Consolas" w:hAnsi="Consolas" w:eastAsia="Consolas"/>
          <w:b w:val="0"/>
          <w:i w:val="0"/>
          <w:color w:val="0B2545"/>
          <w:sz w:val="17"/>
        </w:rPr>
      </w:r>
      <w:r>
        <w:br/>
      </w:r>
      <w:r>
        <w:rPr>
          <w:rFonts w:ascii="Consolas" w:hAnsi="Consolas" w:eastAsia="Consolas"/>
          <w:b w:val="0"/>
          <w:i w:val="0"/>
          <w:color w:val="0B2545"/>
          <w:sz w:val="17"/>
        </w:rPr>
      </w:r>
      <w:r>
        <w:br/>
      </w:r>
      <w:r>
        <w:rPr>
          <w:rFonts w:ascii="Consolas" w:hAnsi="Consolas" w:eastAsia="Consolas"/>
          <w:b w:val="0"/>
          <w:i w:val="0"/>
          <w:color w:val="0B2545"/>
          <w:sz w:val="17"/>
        </w:rPr>
      </w:r>
      <w:r>
        <w:br/>
      </w:r>
      <w:r>
        <w:rPr>
          <w:rFonts w:ascii="Consolas" w:hAnsi="Consolas" w:eastAsia="Consolas"/>
          <w:b w:val="0"/>
          <w:i w:val="0"/>
          <w:color w:val="0B2545"/>
          <w:sz w:val="17"/>
        </w:rPr>
        <w:t>Script 05 finalizado.</w:t>
      </w:r>
      <w:r>
        <w:br/>
      </w:r>
      <w:r>
        <w:rPr>
          <w:rFonts w:ascii="Consolas" w:hAnsi="Consolas" w:eastAsia="Consolas"/>
          <w:b w:val="0"/>
          <w:i w:val="0"/>
          <w:color w:val="0B2545"/>
          <w:sz w:val="17"/>
        </w:rPr>
      </w:r>
      <w:r>
        <w:br/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Calibri"/>
        <w:b w:val="0"/>
        <w:i w:val="0"/>
        <w:color w:val="595959"/>
        <w:sz w:val="16"/>
      </w:rPr>
      <w:t>Documento de evidencia técnica - Javier Mejía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 w:eastAsia="Calibri"/>
        <w:b/>
        <w:i w:val="0"/>
        <w:color w:val="595959"/>
        <w:sz w:val="16"/>
      </w:rPr>
      <w:t>IHSS - SGRLA/FT | Evidencia DBA Fase 3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 w:eastAsia="Calibri"/>
      <w:color w:val="0B2545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