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36"/>
        </w:rPr>
        <w:t>Fase 11 - Pruebas integrales y control de calidad</w:t>
      </w:r>
    </w:p>
    <w:p>
      <w:r>
        <w:rPr>
          <w:color w:val="5A6473"/>
          <w:sz w:val="24"/>
        </w:rPr>
        <w:t>Módulo 3. Matrices de Riesgos - SGRLA-IHSS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20/07/2026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Validación técnica final completada para aprobación</w:t>
            </w:r>
          </w:p>
        </w:tc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Responsable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Javier Mejía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Documento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Control técnico de Fase 11</w:t>
            </w:r>
          </w:p>
        </w:tc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Repositorio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main / origin/main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 técnica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Fases 1 a 10 aprobadas y cerradas</w:t>
            </w:r>
          </w:p>
        </w:tc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Matrices de Riesgos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Alcance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Pruebas integrales, calidad visual, backend, frontend y E2E</w:t>
            </w:r>
          </w:p>
        </w:tc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Resultado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Correcto; listo para aprobación formal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7EF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Conclusión ejecutiva: la Fase 11 queda técnicamente validada. No se reabren fases anteriores; este documento consolida la evidencia para aprobación formal de Javier Mejía.</w:t>
            </w:r>
          </w:p>
        </w:tc>
      </w:tr>
    </w:tbl>
    <w:p/>
    <w:p>
      <w:pPr>
        <w:pStyle w:val="Heading1"/>
      </w:pPr>
      <w:r>
        <w:t>1. Objetivo</w:t>
      </w:r>
    </w:p>
    <w:p>
      <w:r>
        <w:t>Consolidar la validación integral del módulo Matrices de Riesgos antes de su cierre formal, verificando pruebas automatizadas, controles funcionales, limpieza visual, separación de módulos, auditoría, flujos críticos y evidencia técnica.</w:t>
      </w:r>
    </w:p>
    <w:p>
      <w:pPr>
        <w:pStyle w:val="Heading1"/>
      </w:pPr>
      <w:r>
        <w:t>2. Evidencia técnica ejecutada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Bloque</w:t>
            </w:r>
          </w:p>
        </w:tc>
        <w:tc>
          <w:tcPr>
            <w:tcW w:type="dxa" w:w="518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Comando validado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Pruebas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Fallidas</w:t>
            </w:r>
          </w:p>
        </w:tc>
        <w:tc>
          <w:tcPr>
            <w:tcW w:type="dxa" w:w="14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Resultado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18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dotnet test backend/RL.API.Tests/RL.API.Tests.csproj --configuration Release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8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npm run test:coverage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129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 Angular</w:t>
            </w:r>
          </w:p>
        </w:tc>
        <w:tc>
          <w:tcPr>
            <w:tcW w:type="dxa" w:w="518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npm run build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E2E</w:t>
            </w:r>
          </w:p>
        </w:tc>
        <w:tc>
          <w:tcPr>
            <w:tcW w:type="dxa" w:w="518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npm run e2e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</w:tbl>
    <w:p/>
    <w:p>
      <w:r>
        <w:t>Cobertura frontend registrada: sentencias 32.07%, ramas 28.23%, funciones 30.73% y líneas 32.27%.</w:t>
      </w:r>
    </w:p>
    <w:p>
      <w:pPr>
        <w:pStyle w:val="Heading1"/>
      </w:pPr>
      <w:r>
        <w:t>3. Matriz final de pruebas F11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Escenario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Validación realizada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Resultado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F11-01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Autenticación y acceso por módulo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Login, rutas protegidas y acceso a Matrices con módulo autorizado.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F11-02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Captura por tipo de sujeto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Variables filtradas por proveedor, cliente/patrono, empleado o institucional.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F11-03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Bloqueo de duplicados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Validación por identificador externo y documento al crear; edición excluye la misma matriz.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F11-04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Cálculo automático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 guardar o editar, el sistema recalcula desde backend y deja resultados persistidos.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F11-05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Estados operativos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Estados visibles normalizados: En Revisión, Aprobada, Cerrada, Activa/Inactiva.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F11-06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Planes de acción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Fechas válidas, motivo obligatorio, activación/desactivación y límites de texto.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F11-07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Evidencias documentales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Carga protegida, vista previa, descarga desde vista previa y eliminación lógica.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F11-08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Criterios administrables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Catálogo activo/inactivo, visualización de inactivos y control de duplicidad.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F11-09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Reportes y exportaciones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Filtros automáticos, PDF/Excel desde backend y auditoría de exportación.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F11-10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Calidad visual y textos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Corrección de desbordes, textos funcionales y nomenclatura Activar/Desactivar.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F11-11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Separación de módulos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Monitoreo de Listas y Matrices de Riesgos permanecen independientes.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F11-12</w:t>
            </w:r>
          </w:p>
        </w:tc>
        <w:tc>
          <w:tcPr>
            <w:tcW w:type="dxa" w:w="252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Restricciones institucionales</w:t>
            </w:r>
          </w:p>
        </w:tc>
        <w:tc>
          <w:tcPr>
            <w:tcW w:type="dxa" w:w="489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Sin DNP, sin CONTROL_ALMACEN.PROVEEDOR y sin permisos por acción.</w:t>
            </w:r>
          </w:p>
        </w:tc>
        <w:tc>
          <w:tcPr>
            <w:tcW w:type="dxa" w:w="115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Aprobado</w:t>
            </w:r>
          </w:p>
        </w:tc>
      </w:tr>
    </w:tbl>
    <w:p/>
    <w:p>
      <w:pPr>
        <w:pStyle w:val="Heading1"/>
      </w:pPr>
      <w:r>
        <w:t>4. Controles confirmados</w:t>
      </w:r>
    </w:p>
    <w:p>
      <w:pPr>
        <w:ind w:left="360" w:hanging="216"/>
      </w:pPr>
      <w:r>
        <w:rPr>
          <w:b/>
        </w:rPr>
        <w:t xml:space="preserve">• </w:t>
      </w:r>
      <w:r>
        <w:t>No se modificó DNP.</w:t>
      </w:r>
    </w:p>
    <w:p>
      <w:pPr>
        <w:ind w:left="360" w:hanging="216"/>
      </w:pPr>
      <w:r>
        <w:rPr>
          <w:b/>
        </w:rPr>
        <w:t xml:space="preserve">• </w:t>
      </w:r>
      <w:r>
        <w:t>No se tocó CONTROL_ALMACEN.PROVEEDOR.</w:t>
      </w:r>
    </w:p>
    <w:p>
      <w:pPr>
        <w:ind w:left="360" w:hanging="216"/>
      </w:pPr>
      <w:r>
        <w:rPr>
          <w:b/>
        </w:rPr>
        <w:t xml:space="preserve">• </w:t>
      </w:r>
      <w:r>
        <w:t>No se cambió la política de permisos por módulo.</w:t>
      </w:r>
    </w:p>
    <w:p>
      <w:pPr>
        <w:ind w:left="360" w:hanging="216"/>
      </w:pPr>
      <w:r>
        <w:rPr>
          <w:b/>
        </w:rPr>
        <w:t xml:space="preserve">• </w:t>
      </w:r>
      <w:r>
        <w:t>No se conectó Monitoreo de Listas con Matrices de Riesgos.</w:t>
      </w:r>
    </w:p>
    <w:p>
      <w:pPr>
        <w:ind w:left="360" w:hanging="216"/>
      </w:pPr>
      <w:r>
        <w:rPr>
          <w:b/>
        </w:rPr>
        <w:t xml:space="preserve">• </w:t>
      </w:r>
      <w:r>
        <w:t>El frontend no calcula ponderaciones, escalas ni niveles de riesgo.</w:t>
      </w:r>
    </w:p>
    <w:p>
      <w:pPr>
        <w:ind w:left="360" w:hanging="216"/>
      </w:pPr>
      <w:r>
        <w:rPr>
          <w:b/>
        </w:rPr>
        <w:t xml:space="preserve">• </w:t>
      </w:r>
      <w:r>
        <w:t>Las operaciones sensibles conservan motivo obligatorio y auditoría cuando aplica.</w:t>
      </w:r>
    </w:p>
    <w:p>
      <w:pPr>
        <w:pStyle w:val="Heading1"/>
      </w:pPr>
      <w:r>
        <w:t>5. Observaciones corregidas en control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Área</w:t>
            </w:r>
          </w:p>
        </w:tc>
        <w:tc>
          <w:tcPr>
            <w:tcW w:type="dxa" w:w="72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Resultado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Textos visibles</w:t>
            </w:r>
          </w:p>
        </w:tc>
        <w:tc>
          <w:tcPr>
            <w:tcW w:type="dxa" w:w="72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 sustituyeron textos técnicos genéricos por mensajes funcionales comprensibles para el usuario.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Estados</w:t>
            </w:r>
          </w:p>
        </w:tc>
        <w:tc>
          <w:tcPr>
            <w:tcW w:type="dxa" w:w="72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interfaz muestra nombres legibles y evita guiones bajos en estados visibles.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Activar/Desactivar</w:t>
            </w:r>
          </w:p>
        </w:tc>
        <w:tc>
          <w:tcPr>
            <w:tcW w:type="dxa" w:w="72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 reemplazó la acción visible Inactivar por Desactivar y Activar cuando corresponde.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Reportería</w:t>
            </w:r>
          </w:p>
        </w:tc>
        <w:tc>
          <w:tcPr>
            <w:tcW w:type="dxa" w:w="72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 validó que filtros y salidas oficiales respeten datos persistidos.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Layout</w:t>
            </w:r>
          </w:p>
        </w:tc>
        <w:tc>
          <w:tcPr>
            <w:tcW w:type="dxa" w:w="72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 corrigieron desbordes y espacios visuales no profesionales en pantallas del módulo.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Actualización</w:t>
            </w:r>
          </w:p>
        </w:tc>
        <w:tc>
          <w:tcPr>
            <w:tcW w:type="dxa" w:w="72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botón Actualizar recarga datos, limpia captura y deselecciona matriz cuando aplica.</w:t>
            </w:r>
          </w:p>
        </w:tc>
      </w:tr>
    </w:tbl>
    <w:p/>
    <w:p>
      <w:pPr>
        <w:pStyle w:val="Heading1"/>
      </w:pPr>
      <w:r>
        <w:t>6. Pendientes no bloqueantes</w:t>
      </w:r>
    </w:p>
    <w:p>
      <w:pPr>
        <w:ind w:left="360" w:hanging="216"/>
      </w:pPr>
      <w:r>
        <w:rPr>
          <w:b/>
        </w:rPr>
        <w:t xml:space="preserve">• </w:t>
      </w:r>
      <w:r>
        <w:t>Realizar recorrido visual manual con capturas finales si el equipo requiere evidencia gráfica adicional.</w:t>
      </w:r>
    </w:p>
    <w:p>
      <w:pPr>
        <w:ind w:left="360" w:hanging="216"/>
      </w:pPr>
      <w:r>
        <w:rPr>
          <w:b/>
        </w:rPr>
        <w:t xml:space="preserve">• </w:t>
      </w:r>
      <w:r>
        <w:t>Ejecutar prueba de rendimiento con mayor volumen de registros en red institucional si el ambiente lo permite.</w:t>
      </w:r>
    </w:p>
    <w:p>
      <w:pPr>
        <w:ind w:left="360" w:hanging="216"/>
      </w:pPr>
      <w:r>
        <w:rPr>
          <w:b/>
        </w:rPr>
        <w:t xml:space="preserve">• </w:t>
      </w:r>
      <w:r>
        <w:t>Revisar dependencias npm transitivas en una rama separada de mantenimiento, sin mezclarlo con Fase 11.</w:t>
      </w:r>
    </w:p>
    <w:p>
      <w:pPr>
        <w:pStyle w:val="Heading1"/>
      </w:pPr>
      <w:r>
        <w:t>7. Decisión de control</w:t>
      </w:r>
    </w:p>
    <w:p>
      <w:r>
        <w:t>Con base en las pruebas ejecutadas y la evidencia técnica registrada, la Fase 11 se considera técnicamente validada y lista para aprobación formal. El cierre definitivo debe quedar confirmado por Javier Mejía antes de avanzar con nuevos alcances o con la construcción del tablero ejecutivo consolidado.</w:t>
      </w:r>
    </w:p>
    <w:p>
      <w:pPr>
        <w:pStyle w:val="Heading1"/>
      </w:pPr>
      <w:r>
        <w:t>8. Archivos de evidencia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Archivo</w:t>
            </w:r>
          </w:p>
        </w:tc>
        <w:tc>
          <w:tcPr>
            <w:tcW w:type="dxa" w:w="56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Propósito</w:t>
            </w:r>
          </w:p>
        </w:tc>
      </w:tr>
      <w:tr>
        <w:tc>
          <w:tcPr>
            <w:tcW w:type="dxa" w:w="374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fase11_matriz_inicial_pruebas.json</w:t>
            </w:r>
          </w:p>
        </w:tc>
        <w:tc>
          <w:tcPr>
            <w:tcW w:type="dxa" w:w="56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Evidencia base de escenarios integrales de Fase 11.</w:t>
            </w:r>
          </w:p>
        </w:tc>
      </w:tr>
      <w:tr>
        <w:tc>
          <w:tcPr>
            <w:tcW w:type="dxa" w:w="374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fase11_validacion_inicial_quality_gates.json</w:t>
            </w:r>
          </w:p>
        </w:tc>
        <w:tc>
          <w:tcPr>
            <w:tcW w:type="dxa" w:w="56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Evidencia inicial de quality gates.</w:t>
            </w:r>
          </w:p>
        </w:tc>
      </w:tr>
      <w:tr>
        <w:tc>
          <w:tcPr>
            <w:tcW w:type="dxa" w:w="374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fase11_validacion_final_quality_gates.json</w:t>
            </w:r>
          </w:p>
        </w:tc>
        <w:tc>
          <w:tcPr>
            <w:tcW w:type="dxa" w:w="56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Evidencia final revalidada el 20/07/2026.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3"/>
        <w:sz w:val="16"/>
      </w:rPr>
      <w:t>Documento técnico de control interno - Responsable: Javier Mejía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3"/>
        <w:sz w:val="16"/>
      </w:rPr>
      <w:t>SGRLA-IHSS | Fase 11 - Control de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