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B2545"/>
          <w:sz w:val="36"/>
        </w:rPr>
        <w:t>Fase 12. Mejora Ejecutiva del Módulo Monitoreo de Listas</w:t>
      </w:r>
    </w:p>
    <w:p>
      <w:pPr>
        <w:jc w:val="center"/>
      </w:pPr>
      <w:r>
        <w:rPr>
          <w:rFonts w:ascii="Calibri" w:hAnsi="Calibri"/>
          <w:color w:val="1F4D78"/>
          <w:sz w:val="24"/>
        </w:rPr>
        <w:t>Sistema de Gestión de Riesgos LA/FT - IHSS</w:t>
      </w:r>
    </w:p>
    <w:tbl>
      <w:tblPr>
        <w:tblStyle w:val="TableGrid"/>
        <w:tblW w:type="auto" w:w="0"/>
        <w:jc w:val="center"/>
        <w:tblLook w:firstColumn="1" w:firstRow="1" w:lastColumn="0" w:lastRow="0" w:noHBand="0" w:noVBand="1" w:val="04A0"/>
      </w:tblPr>
      <w:tblGrid>
        <w:gridCol w:w="4680"/>
        <w:gridCol w:w="4680"/>
      </w:tblGrid>
      <w:tr>
        <w:tc>
          <w:tcPr>
            <w:tcW w:type="dxa" w:w="2448"/>
            <w:shd w:fill="F2F4F7"/>
            <w:vAlign w:val="center"/>
          </w:tcPr>
          <w:p>
            <w:r/>
            <w:r>
              <w:rPr>
                <w:rFonts w:ascii="Calibri" w:hAnsi="Calibri"/>
                <w:b/>
                <w:sz w:val="20"/>
              </w:rPr>
              <w:t>Campo</w:t>
            </w:r>
          </w:p>
        </w:tc>
        <w:tc>
          <w:tcPr>
            <w:tcW w:type="dxa" w:w="6912"/>
            <w:shd w:fill="F2F4F7"/>
            <w:vAlign w:val="center"/>
          </w:tcPr>
          <w:p>
            <w:r/>
            <w:r>
              <w:rPr>
                <w:rFonts w:ascii="Calibri" w:hAnsi="Calibri"/>
                <w:b/>
                <w:sz w:val="20"/>
              </w:rPr>
              <w:t>Detalle</w:t>
            </w:r>
          </w:p>
        </w:tc>
      </w:tr>
      <w:tr>
        <w:tc>
          <w:tcPr>
            <w:tcW w:type="dxa" w:w="2448"/>
            <w:vAlign w:val="center"/>
          </w:tcPr>
          <w:p>
            <w:r/>
            <w:r>
              <w:rPr>
                <w:rFonts w:ascii="Calibri" w:hAnsi="Calibri"/>
                <w:b w:val="0"/>
                <w:sz w:val="20"/>
              </w:rPr>
              <w:t>Versión</w:t>
            </w:r>
          </w:p>
        </w:tc>
        <w:tc>
          <w:tcPr>
            <w:tcW w:type="dxa" w:w="6912"/>
            <w:vAlign w:val="center"/>
          </w:tcPr>
          <w:p>
            <w:r>
              <w:t>1.3</w:t>
            </w:r>
          </w:p>
        </w:tc>
      </w:tr>
      <w:tr>
        <w:tc>
          <w:tcPr>
            <w:tcW w:type="dxa" w:w="2448"/>
            <w:vAlign w:val="center"/>
          </w:tcPr>
          <w:p>
            <w:r/>
            <w:r>
              <w:rPr>
                <w:rFonts w:ascii="Calibri" w:hAnsi="Calibri"/>
                <w:b w:val="0"/>
                <w:sz w:val="20"/>
              </w:rPr>
              <w:t>Estado</w:t>
            </w:r>
          </w:p>
        </w:tc>
        <w:tc>
          <w:tcPr>
            <w:tcW w:type="dxa" w:w="6912"/>
            <w:vAlign w:val="center"/>
          </w:tcPr>
          <w:p>
            <w:r>
              <w:t>Fase 12 aprobada y cerrada</w:t>
            </w:r>
          </w:p>
        </w:tc>
      </w:tr>
      <w:tr>
        <w:tc>
          <w:tcPr>
            <w:tcW w:type="dxa" w:w="2448"/>
            <w:vAlign w:val="center"/>
          </w:tcPr>
          <w:p>
            <w:r/>
            <w:r>
              <w:rPr>
                <w:rFonts w:ascii="Calibri" w:hAnsi="Calibri"/>
                <w:b w:val="0"/>
                <w:sz w:val="20"/>
              </w:rPr>
              <w:t>Responsable</w:t>
            </w:r>
          </w:p>
        </w:tc>
        <w:tc>
          <w:tcPr>
            <w:tcW w:type="dxa" w:w="6912"/>
            <w:vAlign w:val="center"/>
          </w:tcPr>
          <w:p>
            <w:r/>
            <w:r>
              <w:rPr>
                <w:rFonts w:ascii="Calibri" w:hAnsi="Calibri"/>
                <w:b w:val="0"/>
                <w:sz w:val="20"/>
              </w:rPr>
              <w:t>Javier Mejía</w:t>
            </w:r>
          </w:p>
        </w:tc>
      </w:tr>
      <w:tr>
        <w:tc>
          <w:tcPr>
            <w:tcW w:type="dxa" w:w="2448"/>
            <w:vAlign w:val="center"/>
          </w:tcPr>
          <w:p>
            <w:r/>
            <w:r>
              <w:rPr>
                <w:rFonts w:ascii="Calibri" w:hAnsi="Calibri"/>
                <w:b w:val="0"/>
                <w:sz w:val="20"/>
              </w:rPr>
              <w:t>Fecha</w:t>
            </w:r>
          </w:p>
        </w:tc>
        <w:tc>
          <w:tcPr>
            <w:tcW w:type="dxa" w:w="6912"/>
            <w:vAlign w:val="center"/>
          </w:tcPr>
          <w:p>
            <w:r/>
            <w:r>
              <w:rPr>
                <w:rFonts w:ascii="Calibri" w:hAnsi="Calibri"/>
                <w:b w:val="0"/>
                <w:sz w:val="20"/>
              </w:rPr>
              <w:t>20/07/2026</w:t>
            </w:r>
          </w:p>
        </w:tc>
      </w:tr>
      <w:tr>
        <w:tc>
          <w:tcPr>
            <w:tcW w:type="dxa" w:w="2448"/>
            <w:vAlign w:val="center"/>
          </w:tcPr>
          <w:p>
            <w:r/>
            <w:r>
              <w:rPr>
                <w:rFonts w:ascii="Calibri" w:hAnsi="Calibri"/>
                <w:b w:val="0"/>
                <w:sz w:val="20"/>
              </w:rPr>
              <w:t>Módulo</w:t>
            </w:r>
          </w:p>
        </w:tc>
        <w:tc>
          <w:tcPr>
            <w:tcW w:type="dxa" w:w="6912"/>
            <w:vAlign w:val="center"/>
          </w:tcPr>
          <w:p>
            <w:r/>
            <w:r>
              <w:rPr>
                <w:rFonts w:ascii="Calibri" w:hAnsi="Calibri"/>
                <w:b w:val="0"/>
                <w:sz w:val="20"/>
              </w:rPr>
              <w:t>Monitoreo de Listas</w:t>
            </w:r>
          </w:p>
        </w:tc>
      </w:tr>
      <w:tr>
        <w:tc>
          <w:tcPr>
            <w:tcW w:type="dxa" w:w="2448"/>
            <w:vAlign w:val="center"/>
          </w:tcPr>
          <w:p>
            <w:r/>
            <w:r>
              <w:rPr>
                <w:rFonts w:ascii="Calibri" w:hAnsi="Calibri"/>
                <w:b w:val="0"/>
                <w:sz w:val="20"/>
              </w:rPr>
              <w:t>Repositorio base</w:t>
            </w:r>
          </w:p>
        </w:tc>
        <w:tc>
          <w:tcPr>
            <w:tcW w:type="dxa" w:w="6912"/>
            <w:vAlign w:val="center"/>
          </w:tcPr>
          <w:p>
            <w:r/>
            <w:r>
              <w:rPr>
                <w:rFonts w:ascii="Calibri" w:hAnsi="Calibri"/>
                <w:b w:val="0"/>
                <w:sz w:val="20"/>
              </w:rPr>
              <w:t>C:/RIESGO_LAVADO</w:t>
            </w:r>
          </w:p>
        </w:tc>
      </w:tr>
    </w:tbl>
    <w:p>
      <w:pPr>
        <w:pStyle w:val="Heading1"/>
      </w:pPr>
      <w:r>
        <w:rPr>
          <w:rFonts w:ascii="Calibri" w:hAnsi="Calibri"/>
        </w:rPr>
        <w:t>1. Objetivo</w:t>
      </w:r>
    </w:p>
    <w:p>
      <w:r>
        <w:rPr>
          <w:rFonts w:ascii="Calibri" w:hAnsi="Calibri"/>
        </w:rPr>
        <w:t>Implementar una vista ejecutiva interna para el módulo Monitoreo de Listas, mejorando la lectura operativa de coincidencias, positivos manuales, motivos, estados y exportaciones, sin modificar la lógica de negocio aprobada ni conectar este módulo con Matrices de Riesgos.</w:t>
      </w:r>
    </w:p>
    <w:p>
      <w:pPr>
        <w:pStyle w:val="Heading1"/>
      </w:pPr>
      <w:r>
        <w:rPr>
          <w:rFonts w:ascii="Calibri" w:hAnsi="Calibri"/>
        </w:rPr>
        <w:t>2. Alcance de la fase</w:t>
      </w:r>
    </w:p>
    <w:tbl>
      <w:tblPr>
        <w:tblStyle w:val="TableGrid"/>
        <w:tblW w:type="auto" w:w="0"/>
        <w:jc w:val="center"/>
        <w:tblLook w:firstColumn="1" w:firstRow="1" w:lastColumn="0" w:lastRow="0" w:noHBand="0" w:noVBand="1" w:val="04A0"/>
      </w:tblPr>
      <w:tblGrid>
        <w:gridCol w:w="4680"/>
        <w:gridCol w:w="4680"/>
      </w:tblGrid>
      <w:tr>
        <w:tc>
          <w:tcPr>
            <w:tcW w:type="dxa" w:w="4680"/>
            <w:shd w:fill="F2F4F7"/>
            <w:vAlign w:val="center"/>
          </w:tcPr>
          <w:p>
            <w:r/>
            <w:r>
              <w:rPr>
                <w:rFonts w:ascii="Calibri" w:hAnsi="Calibri"/>
                <w:b/>
                <w:sz w:val="20"/>
              </w:rPr>
              <w:t>Componente</w:t>
            </w:r>
          </w:p>
        </w:tc>
        <w:tc>
          <w:tcPr>
            <w:tcW w:type="dxa" w:w="4680"/>
            <w:shd w:fill="F2F4F7"/>
            <w:vAlign w:val="center"/>
          </w:tcPr>
          <w:p>
            <w:r/>
            <w:r>
              <w:rPr>
                <w:rFonts w:ascii="Calibri" w:hAnsi="Calibri"/>
                <w:b/>
                <w:sz w:val="20"/>
              </w:rPr>
              <w:t>Alcance aprobado</w:t>
            </w:r>
          </w:p>
        </w:tc>
      </w:tr>
      <w:tr>
        <w:tc>
          <w:tcPr>
            <w:tcW w:type="dxa" w:w="4680"/>
            <w:vAlign w:val="center"/>
          </w:tcPr>
          <w:p>
            <w:r/>
            <w:r>
              <w:rPr>
                <w:rFonts w:ascii="Calibri" w:hAnsi="Calibri"/>
                <w:b w:val="0"/>
                <w:sz w:val="20"/>
              </w:rPr>
              <w:t>Resumen ejecutivo</w:t>
            </w:r>
          </w:p>
        </w:tc>
        <w:tc>
          <w:tcPr>
            <w:tcW w:type="dxa" w:w="4680"/>
            <w:vAlign w:val="center"/>
          </w:tcPr>
          <w:p>
            <w:r/>
            <w:r>
              <w:rPr>
                <w:rFonts w:ascii="Calibri" w:hAnsi="Calibri"/>
                <w:b w:val="0"/>
                <w:sz w:val="20"/>
              </w:rPr>
              <w:t>Tarjetas KPI consolidadas y vista seleccionada por tipo de sujeto.</w:t>
            </w:r>
          </w:p>
        </w:tc>
      </w:tr>
      <w:tr>
        <w:tc>
          <w:tcPr>
            <w:tcW w:type="dxa" w:w="4680"/>
            <w:vAlign w:val="center"/>
          </w:tcPr>
          <w:p>
            <w:r/>
            <w:r>
              <w:rPr>
                <w:rFonts w:ascii="Calibri" w:hAnsi="Calibri"/>
                <w:b w:val="0"/>
                <w:sz w:val="20"/>
              </w:rPr>
              <w:t>Filtros</w:t>
            </w:r>
          </w:p>
        </w:tc>
        <w:tc>
          <w:tcPr>
            <w:tcW w:type="dxa" w:w="4680"/>
            <w:vAlign w:val="center"/>
          </w:tcPr>
          <w:p>
            <w:r/>
            <w:r>
              <w:rPr>
                <w:rFonts w:ascii="Calibri" w:hAnsi="Calibri"/>
                <w:b w:val="0"/>
                <w:sz w:val="20"/>
              </w:rPr>
              <w:t>Búsqueda automática, estado, fechas, limpieza de filtros y paginación.</w:t>
            </w:r>
          </w:p>
        </w:tc>
      </w:tr>
      <w:tr>
        <w:tc>
          <w:tcPr>
            <w:tcW w:type="dxa" w:w="4680"/>
            <w:vAlign w:val="center"/>
          </w:tcPr>
          <w:p>
            <w:r/>
            <w:r>
              <w:rPr>
                <w:rFonts w:ascii="Calibri" w:hAnsi="Calibri"/>
                <w:b w:val="0"/>
                <w:sz w:val="20"/>
              </w:rPr>
              <w:t>Exportaciones</w:t>
            </w:r>
          </w:p>
        </w:tc>
        <w:tc>
          <w:tcPr>
            <w:tcW w:type="dxa" w:w="4680"/>
            <w:vAlign w:val="center"/>
          </w:tcPr>
          <w:p>
            <w:r/>
            <w:r>
              <w:rPr>
                <w:rFonts w:ascii="Calibri" w:hAnsi="Calibri"/>
                <w:b w:val="0"/>
                <w:sz w:val="20"/>
              </w:rPr>
              <w:t>Excel existente conservado y exportación PDF filtrada con auditoría obligatoria.</w:t>
            </w:r>
          </w:p>
        </w:tc>
      </w:tr>
      <w:tr>
        <w:tc>
          <w:tcPr>
            <w:tcW w:type="dxa" w:w="4680"/>
            <w:vAlign w:val="center"/>
          </w:tcPr>
          <w:p>
            <w:r/>
            <w:r>
              <w:rPr>
                <w:rFonts w:ascii="Calibri" w:hAnsi="Calibri"/>
                <w:b w:val="0"/>
                <w:sz w:val="20"/>
              </w:rPr>
              <w:t>Indicadores por lista</w:t>
            </w:r>
          </w:p>
        </w:tc>
        <w:tc>
          <w:tcPr>
            <w:tcW w:type="dxa" w:w="4680"/>
            <w:vAlign w:val="center"/>
          </w:tcPr>
          <w:p>
            <w:r/>
            <w:r>
              <w:rPr>
                <w:rFonts w:ascii="Calibri" w:hAnsi="Calibri"/>
                <w:b w:val="0"/>
                <w:sz w:val="20"/>
              </w:rPr>
              <w:t>Distribución simple de listas con mayor presencia dentro de la vista seleccionada.</w:t>
            </w:r>
          </w:p>
        </w:tc>
      </w:tr>
      <w:tr>
        <w:tc>
          <w:tcPr>
            <w:tcW w:type="dxa" w:w="4680"/>
            <w:vAlign w:val="center"/>
          </w:tcPr>
          <w:p>
            <w:r/>
            <w:r>
              <w:rPr>
                <w:rFonts w:ascii="Calibri" w:hAnsi="Calibri"/>
                <w:b w:val="0"/>
                <w:sz w:val="20"/>
              </w:rPr>
              <w:t>Independencia modular</w:t>
            </w:r>
          </w:p>
        </w:tc>
        <w:tc>
          <w:tcPr>
            <w:tcW w:type="dxa" w:w="4680"/>
            <w:vAlign w:val="center"/>
          </w:tcPr>
          <w:p>
            <w:r/>
            <w:r>
              <w:rPr>
                <w:rFonts w:ascii="Calibri" w:hAnsi="Calibri"/>
                <w:b w:val="0"/>
                <w:sz w:val="20"/>
              </w:rPr>
              <w:t>No se genera cálculo de riesgo, no se alimenta Matrices de Riesgos y no se comparte flujo operativo con ese módulo.</w:t>
            </w:r>
          </w:p>
        </w:tc>
      </w:tr>
    </w:tbl>
    <w:p>
      <w:pPr>
        <w:pStyle w:val="Heading1"/>
      </w:pPr>
      <w:r>
        <w:rPr>
          <w:rFonts w:ascii="Calibri" w:hAnsi="Calibri"/>
        </w:rPr>
        <w:t>3. Cambios realizados</w:t>
      </w:r>
    </w:p>
    <w:tbl>
      <w:tblPr>
        <w:tblStyle w:val="TableGrid"/>
        <w:tblW w:type="auto" w:w="0"/>
        <w:jc w:val="center"/>
        <w:tblLook w:firstColumn="1" w:firstRow="1" w:lastColumn="0" w:lastRow="0" w:noHBand="0" w:noVBand="1" w:val="04A0"/>
      </w:tblPr>
      <w:tblGrid>
        <w:gridCol w:w="4680"/>
        <w:gridCol w:w="4680"/>
      </w:tblGrid>
      <w:tr>
        <w:tc>
          <w:tcPr>
            <w:tcW w:type="dxa" w:w="4680"/>
            <w:shd w:fill="F2F4F7"/>
            <w:vAlign w:val="center"/>
          </w:tcPr>
          <w:p>
            <w:r/>
            <w:r>
              <w:rPr>
                <w:rFonts w:ascii="Calibri" w:hAnsi="Calibri"/>
                <w:b/>
                <w:sz w:val="20"/>
              </w:rPr>
              <w:t>Ambiente</w:t>
            </w:r>
          </w:p>
        </w:tc>
        <w:tc>
          <w:tcPr>
            <w:tcW w:type="dxa" w:w="4680"/>
            <w:shd w:fill="F2F4F7"/>
            <w:vAlign w:val="center"/>
          </w:tcPr>
          <w:p>
            <w:r/>
            <w:r>
              <w:rPr>
                <w:rFonts w:ascii="Calibri" w:hAnsi="Calibri"/>
                <w:b/>
                <w:sz w:val="20"/>
              </w:rPr>
              <w:t>Cambio</w:t>
            </w:r>
          </w:p>
        </w:tc>
      </w:tr>
      <w:tr>
        <w:tc>
          <w:tcPr>
            <w:tcW w:type="dxa" w:w="4680"/>
            <w:vAlign w:val="center"/>
          </w:tcPr>
          <w:p>
            <w:r/>
            <w:r>
              <w:rPr>
                <w:rFonts w:ascii="Calibri" w:hAnsi="Calibri"/>
                <w:b w:val="0"/>
                <w:sz w:val="20"/>
              </w:rPr>
              <w:t>Frontend</w:t>
            </w:r>
          </w:p>
        </w:tc>
        <w:tc>
          <w:tcPr>
            <w:tcW w:type="dxa" w:w="4680"/>
            <w:vAlign w:val="center"/>
          </w:tcPr>
          <w:p>
            <w:r/>
            <w:r>
              <w:rPr>
                <w:rFonts w:ascii="Calibri" w:hAnsi="Calibri"/>
                <w:b w:val="0"/>
                <w:sz w:val="20"/>
              </w:rPr>
              <w:t>Se agregó resumen ejecutivo con coincidencias activas, pendientes de motivo, coincidencias con motivo y positivos manuales.</w:t>
            </w:r>
          </w:p>
        </w:tc>
      </w:tr>
      <w:tr>
        <w:tc>
          <w:tcPr>
            <w:tcW w:type="dxa" w:w="4680"/>
            <w:vAlign w:val="center"/>
          </w:tcPr>
          <w:p>
            <w:r/>
            <w:r>
              <w:rPr>
                <w:rFonts w:ascii="Calibri" w:hAnsi="Calibri"/>
                <w:b w:val="0"/>
                <w:sz w:val="20"/>
              </w:rPr>
              <w:t>Frontend</w:t>
            </w:r>
          </w:p>
        </w:tc>
        <w:tc>
          <w:tcPr>
            <w:tcW w:type="dxa" w:w="4680"/>
            <w:vAlign w:val="center"/>
          </w:tcPr>
          <w:p>
            <w:r/>
            <w:r>
              <w:rPr>
                <w:rFonts w:ascii="Calibri" w:hAnsi="Calibri"/>
                <w:b w:val="0"/>
                <w:sz w:val="20"/>
              </w:rPr>
              <w:t>Se agregó bloque de vista seleccionada con totales operativos y distribución por lista de coincidencia.</w:t>
            </w:r>
          </w:p>
        </w:tc>
      </w:tr>
      <w:tr>
        <w:tc>
          <w:tcPr>
            <w:tcW w:type="dxa" w:w="4680"/>
            <w:vAlign w:val="center"/>
          </w:tcPr>
          <w:p>
            <w:r/>
            <w:r>
              <w:rPr>
                <w:rFonts w:ascii="Calibri" w:hAnsi="Calibri"/>
                <w:b w:val="0"/>
                <w:sz w:val="20"/>
              </w:rPr>
              <w:t>Frontend</w:t>
            </w:r>
          </w:p>
        </w:tc>
        <w:tc>
          <w:tcPr>
            <w:tcW w:type="dxa" w:w="4680"/>
            <w:vAlign w:val="center"/>
          </w:tcPr>
          <w:p>
            <w:r/>
            <w:r>
              <w:rPr>
                <w:rFonts w:ascii="Calibri" w:hAnsi="Calibri"/>
                <w:b w:val="0"/>
                <w:sz w:val="20"/>
              </w:rPr>
              <w:t>Se incorporó botón Generar PDF junto al botón Exportar Excel para mantener el patrón visual de reportes.</w:t>
            </w:r>
          </w:p>
        </w:tc>
      </w:tr>
      <w:tr>
        <w:tc>
          <w:tcPr>
            <w:tcW w:type="dxa" w:w="4680"/>
            <w:vAlign w:val="center"/>
          </w:tcPr>
          <w:p>
            <w:r/>
            <w:r>
              <w:rPr>
                <w:rFonts w:ascii="Calibri" w:hAnsi="Calibri"/>
                <w:b w:val="0"/>
                <w:sz w:val="20"/>
              </w:rPr>
              <w:t>Frontend</w:t>
            </w:r>
          </w:p>
        </w:tc>
        <w:tc>
          <w:tcPr>
            <w:tcW w:type="dxa" w:w="4680"/>
            <w:vAlign w:val="center"/>
          </w:tcPr>
          <w:p>
            <w:r/>
            <w:r>
              <w:rPr>
                <w:rFonts w:ascii="Calibri" w:hAnsi="Calibri"/>
                <w:b w:val="0"/>
                <w:sz w:val="20"/>
              </w:rPr>
              <w:t>Se ajustó el botón Limpiar para habilitarse únicamente cuando existan filtros activos.</w:t>
            </w:r>
          </w:p>
        </w:tc>
      </w:tr>
      <w:tr>
        <w:tc>
          <w:tcPr>
            <w:tcW w:type="dxa" w:w="4680"/>
            <w:vAlign w:val="center"/>
          </w:tcPr>
          <w:p>
            <w:r/>
            <w:r>
              <w:rPr>
                <w:rFonts w:ascii="Calibri" w:hAnsi="Calibri"/>
                <w:b w:val="0"/>
                <w:sz w:val="20"/>
              </w:rPr>
              <w:t>Backend</w:t>
            </w:r>
          </w:p>
        </w:tc>
        <w:tc>
          <w:tcPr>
            <w:tcW w:type="dxa" w:w="4680"/>
            <w:vAlign w:val="center"/>
          </w:tcPr>
          <w:p>
            <w:r/>
            <w:r>
              <w:rPr>
                <w:rFonts w:ascii="Calibri" w:hAnsi="Calibri"/>
                <w:b w:val="0"/>
                <w:sz w:val="20"/>
              </w:rPr>
              <w:t>No se modificó estructura backend; se reutilizó el servicio de auditoría de exportaciones ya existente.</w:t>
            </w:r>
          </w:p>
        </w:tc>
      </w:tr>
      <w:tr>
        <w:tc>
          <w:tcPr>
            <w:tcW w:type="dxa" w:w="4680"/>
            <w:vAlign w:val="center"/>
          </w:tcPr>
          <w:p>
            <w:r/>
            <w:r>
              <w:rPr>
                <w:rFonts w:ascii="Calibri" w:hAnsi="Calibri"/>
                <w:b w:val="0"/>
                <w:sz w:val="20"/>
              </w:rPr>
              <w:t>Base de datos</w:t>
            </w:r>
          </w:p>
        </w:tc>
        <w:tc>
          <w:tcPr>
            <w:tcW w:type="dxa" w:w="4680"/>
            <w:vAlign w:val="center"/>
          </w:tcPr>
          <w:p>
            <w:r/>
            <w:r>
              <w:rPr>
                <w:rFonts w:ascii="Calibri" w:hAnsi="Calibri"/>
                <w:b w:val="0"/>
                <w:sz w:val="20"/>
              </w:rPr>
              <w:t>No se modificaron tablas, secuencias, restricciones ni permisos.</w:t>
            </w:r>
          </w:p>
        </w:tc>
      </w:tr>
    </w:tbl>
    <w:p>
      <w:pPr>
        <w:pStyle w:val="Heading1"/>
      </w:pPr>
      <w:r>
        <w:rPr>
          <w:rFonts w:ascii="Calibri" w:hAnsi="Calibri"/>
        </w:rPr>
        <w:t>4. Reglas funcionales confirmadas</w:t>
      </w:r>
    </w:p>
    <w:p>
      <w:pPr>
        <w:pStyle w:val="ListBullet"/>
      </w:pPr>
      <w:r>
        <w:rPr>
          <w:rFonts w:ascii="Calibri" w:hAnsi="Calibri"/>
        </w:rPr>
        <w:t>Monitoreo de Listas gestiona coincidencias, positivos manuales, motivos, seguimientos y evidencias.</w:t>
      </w:r>
    </w:p>
    <w:p>
      <w:pPr>
        <w:pStyle w:val="ListBullet"/>
      </w:pPr>
      <w:r>
        <w:rPr>
          <w:rFonts w:ascii="Calibri" w:hAnsi="Calibri"/>
        </w:rPr>
        <w:t>Matrices de Riesgos no consume registros de Monitoreo de Listas para crear matrices ni calcular riesgo.</w:t>
      </w:r>
    </w:p>
    <w:p>
      <w:pPr>
        <w:pStyle w:val="ListBullet"/>
      </w:pPr>
      <w:r>
        <w:rPr>
          <w:rFonts w:ascii="Calibri" w:hAnsi="Calibri"/>
        </w:rPr>
        <w:t>Las exportaciones deben respetar la vista filtrada vigente del usuario.</w:t>
      </w:r>
    </w:p>
    <w:p>
      <w:pPr>
        <w:pStyle w:val="ListBullet"/>
      </w:pPr>
      <w:r>
        <w:rPr>
          <w:rFonts w:ascii="Calibri" w:hAnsi="Calibri"/>
        </w:rPr>
        <w:t>Toda exportación debe registrar auditoría antes de entregar el archivo.</w:t>
      </w:r>
    </w:p>
    <w:p>
      <w:pPr>
        <w:pStyle w:val="ListBullet"/>
      </w:pPr>
      <w:r>
        <w:rPr>
          <w:rFonts w:ascii="Calibri" w:hAnsi="Calibri"/>
        </w:rPr>
        <w:t>La búsqueda se mantiene automática para evitar botones innecesarios y mejorar la operación.</w:t>
      </w:r>
    </w:p>
    <w:p>
      <w:pPr>
        <w:pStyle w:val="Heading1"/>
      </w:pPr>
      <w:r>
        <w:rPr>
          <w:rFonts w:ascii="Calibri" w:hAnsi="Calibri"/>
        </w:rPr>
        <w:t>5. Validaciones requeridas</w:t>
      </w:r>
    </w:p>
    <w:tbl>
      <w:tblPr>
        <w:tblStyle w:val="TableGrid"/>
        <w:tblW w:type="auto" w:w="0"/>
        <w:jc w:val="center"/>
        <w:tblLook w:firstColumn="1" w:firstRow="1" w:lastColumn="0" w:lastRow="0" w:noHBand="0" w:noVBand="1" w:val="04A0"/>
      </w:tblPr>
      <w:tblGrid>
        <w:gridCol w:w="4680"/>
        <w:gridCol w:w="4680"/>
      </w:tblGrid>
      <w:tr>
        <w:tc>
          <w:tcPr>
            <w:tcW w:type="dxa" w:w="4680"/>
            <w:shd w:fill="F2F4F7"/>
            <w:vAlign w:val="center"/>
          </w:tcPr>
          <w:p>
            <w:r/>
            <w:r>
              <w:rPr>
                <w:rFonts w:ascii="Calibri" w:hAnsi="Calibri"/>
                <w:b/>
                <w:sz w:val="20"/>
              </w:rPr>
              <w:t>Validación</w:t>
            </w:r>
          </w:p>
        </w:tc>
        <w:tc>
          <w:tcPr>
            <w:tcW w:type="dxa" w:w="4680"/>
            <w:shd w:fill="F2F4F7"/>
            <w:vAlign w:val="center"/>
          </w:tcPr>
          <w:p>
            <w:r/>
            <w:r>
              <w:rPr>
                <w:rFonts w:ascii="Calibri" w:hAnsi="Calibri"/>
                <w:b/>
                <w:sz w:val="20"/>
              </w:rPr>
              <w:t>Resultado esperado</w:t>
            </w:r>
          </w:p>
        </w:tc>
      </w:tr>
      <w:tr>
        <w:tc>
          <w:tcPr>
            <w:tcW w:type="dxa" w:w="4680"/>
            <w:vAlign w:val="center"/>
          </w:tcPr>
          <w:p>
            <w:r/>
            <w:r>
              <w:rPr>
                <w:rFonts w:ascii="Calibri" w:hAnsi="Calibri"/>
                <w:b w:val="0"/>
                <w:sz w:val="20"/>
              </w:rPr>
              <w:t>Carga inicial</w:t>
            </w:r>
          </w:p>
        </w:tc>
        <w:tc>
          <w:tcPr>
            <w:tcW w:type="dxa" w:w="4680"/>
            <w:vAlign w:val="center"/>
          </w:tcPr>
          <w:p>
            <w:r/>
            <w:r>
              <w:rPr>
                <w:rFonts w:ascii="Calibri" w:hAnsi="Calibri"/>
                <w:b w:val="0"/>
                <w:sz w:val="20"/>
              </w:rPr>
              <w:t>El módulo muestra tarjetas KPI y listado sin errores visuales.</w:t>
            </w:r>
          </w:p>
        </w:tc>
      </w:tr>
      <w:tr>
        <w:tc>
          <w:tcPr>
            <w:tcW w:type="dxa" w:w="4680"/>
            <w:vAlign w:val="center"/>
          </w:tcPr>
          <w:p>
            <w:r/>
            <w:r>
              <w:rPr>
                <w:rFonts w:ascii="Calibri" w:hAnsi="Calibri"/>
                <w:b w:val="0"/>
                <w:sz w:val="20"/>
              </w:rPr>
              <w:t>Cambio de categoría</w:t>
            </w:r>
          </w:p>
        </w:tc>
        <w:tc>
          <w:tcPr>
            <w:tcW w:type="dxa" w:w="4680"/>
            <w:vAlign w:val="center"/>
          </w:tcPr>
          <w:p>
            <w:r/>
            <w:r>
              <w:rPr>
                <w:rFonts w:ascii="Calibri" w:hAnsi="Calibri"/>
                <w:b w:val="0"/>
                <w:sz w:val="20"/>
              </w:rPr>
              <w:t>Jurídicas, naturales y empleados actualizan la vista y sus indicadores.</w:t>
            </w:r>
          </w:p>
        </w:tc>
      </w:tr>
      <w:tr>
        <w:tc>
          <w:tcPr>
            <w:tcW w:type="dxa" w:w="4680"/>
            <w:vAlign w:val="center"/>
          </w:tcPr>
          <w:p>
            <w:r/>
            <w:r>
              <w:rPr>
                <w:rFonts w:ascii="Calibri" w:hAnsi="Calibri"/>
                <w:b w:val="0"/>
                <w:sz w:val="20"/>
              </w:rPr>
              <w:t>Filtro automático</w:t>
            </w:r>
          </w:p>
        </w:tc>
        <w:tc>
          <w:tcPr>
            <w:tcW w:type="dxa" w:w="4680"/>
            <w:vAlign w:val="center"/>
          </w:tcPr>
          <w:p>
            <w:r/>
            <w:r>
              <w:rPr>
                <w:rFonts w:ascii="Calibri" w:hAnsi="Calibri"/>
                <w:b w:val="0"/>
                <w:sz w:val="20"/>
              </w:rPr>
              <w:t>La tabla cambia al escribir, seleccionar estado o fechas.</w:t>
            </w:r>
          </w:p>
        </w:tc>
      </w:tr>
      <w:tr>
        <w:tc>
          <w:tcPr>
            <w:tcW w:type="dxa" w:w="4680"/>
            <w:vAlign w:val="center"/>
          </w:tcPr>
          <w:p>
            <w:r/>
            <w:r>
              <w:rPr>
                <w:rFonts w:ascii="Calibri" w:hAnsi="Calibri"/>
                <w:b w:val="0"/>
                <w:sz w:val="20"/>
              </w:rPr>
              <w:t>Exportar Excel</w:t>
            </w:r>
          </w:p>
        </w:tc>
        <w:tc>
          <w:tcPr>
            <w:tcW w:type="dxa" w:w="4680"/>
            <w:vAlign w:val="center"/>
          </w:tcPr>
          <w:p>
            <w:r/>
            <w:r>
              <w:rPr>
                <w:rFonts w:ascii="Calibri" w:hAnsi="Calibri"/>
                <w:b w:val="0"/>
                <w:sz w:val="20"/>
              </w:rPr>
              <w:t>El archivo respeta la vista filtrada y registra auditoría.</w:t>
            </w:r>
          </w:p>
        </w:tc>
      </w:tr>
      <w:tr>
        <w:tc>
          <w:tcPr>
            <w:tcW w:type="dxa" w:w="4680"/>
            <w:vAlign w:val="center"/>
          </w:tcPr>
          <w:p>
            <w:r/>
            <w:r>
              <w:rPr>
                <w:rFonts w:ascii="Calibri" w:hAnsi="Calibri"/>
                <w:b w:val="0"/>
                <w:sz w:val="20"/>
              </w:rPr>
              <w:t>Generar PDF</w:t>
            </w:r>
          </w:p>
        </w:tc>
        <w:tc>
          <w:tcPr>
            <w:tcW w:type="dxa" w:w="4680"/>
            <w:vAlign w:val="center"/>
          </w:tcPr>
          <w:p>
            <w:r/>
            <w:r>
              <w:rPr>
                <w:rFonts w:ascii="Calibri" w:hAnsi="Calibri"/>
                <w:b w:val="0"/>
                <w:sz w:val="20"/>
              </w:rPr>
              <w:t>El archivo PDF respeta la vista filtrada y registra auditoría.</w:t>
            </w:r>
          </w:p>
        </w:tc>
      </w:tr>
      <w:tr>
        <w:tc>
          <w:tcPr>
            <w:tcW w:type="dxa" w:w="4680"/>
            <w:vAlign w:val="center"/>
          </w:tcPr>
          <w:p>
            <w:r/>
            <w:r>
              <w:rPr>
                <w:rFonts w:ascii="Calibri" w:hAnsi="Calibri"/>
                <w:b w:val="0"/>
                <w:sz w:val="20"/>
              </w:rPr>
              <w:t>Separación modular</w:t>
            </w:r>
          </w:p>
        </w:tc>
        <w:tc>
          <w:tcPr>
            <w:tcW w:type="dxa" w:w="4680"/>
            <w:vAlign w:val="center"/>
          </w:tcPr>
          <w:p>
            <w:r/>
            <w:r>
              <w:rPr>
                <w:rFonts w:ascii="Calibri" w:hAnsi="Calibri"/>
                <w:b w:val="0"/>
                <w:sz w:val="20"/>
              </w:rPr>
              <w:t>No existe dependencia funcional con Matrices de Riesgos.</w:t>
            </w:r>
          </w:p>
        </w:tc>
      </w:tr>
    </w:tbl>
    <w:p>
      <w:pPr>
        <w:pStyle w:val="Heading1"/>
      </w:pPr>
      <w:r>
        <w:rPr>
          <w:rFonts w:ascii="Calibri" w:hAnsi="Calibri"/>
        </w:rPr>
        <w:t>6. Pendientes controlados</w:t>
      </w:r>
    </w:p>
    <w:tbl>
      <w:tblPr>
        <w:tblStyle w:val="TableGrid"/>
        <w:tblW w:type="auto" w:w="0"/>
        <w:jc w:val="center"/>
        <w:tblLook w:firstColumn="1" w:firstRow="1" w:lastColumn="0" w:lastRow="0" w:noHBand="0" w:noVBand="1" w:val="04A0"/>
      </w:tblPr>
      <w:tblGrid>
        <w:gridCol w:w="4680"/>
        <w:gridCol w:w="4680"/>
      </w:tblGrid>
      <w:tr>
        <w:tc>
          <w:tcPr>
            <w:tcW w:type="dxa" w:w="4680"/>
            <w:shd w:fill="F2F4F7"/>
            <w:vAlign w:val="center"/>
          </w:tcPr>
          <w:p>
            <w:r/>
            <w:r>
              <w:rPr>
                <w:rFonts w:ascii="Calibri" w:hAnsi="Calibri"/>
                <w:b/>
                <w:sz w:val="20"/>
              </w:rPr>
              <w:t>Pendiente</w:t>
            </w:r>
          </w:p>
        </w:tc>
        <w:tc>
          <w:tcPr>
            <w:tcW w:type="dxa" w:w="4680"/>
            <w:shd w:fill="F2F4F7"/>
            <w:vAlign w:val="center"/>
          </w:tcPr>
          <w:p>
            <w:r/>
            <w:r>
              <w:rPr>
                <w:rFonts w:ascii="Calibri" w:hAnsi="Calibri"/>
                <w:b/>
                <w:sz w:val="20"/>
              </w:rPr>
              <w:t>Tratamiento</w:t>
            </w:r>
          </w:p>
        </w:tc>
      </w:tr>
      <w:tr>
        <w:tc>
          <w:tcPr>
            <w:tcW w:type="dxa" w:w="4680"/>
            <w:vAlign w:val="center"/>
          </w:tcPr>
          <w:p>
            <w:r/>
            <w:r>
              <w:rPr>
                <w:rFonts w:ascii="Calibri" w:hAnsi="Calibri"/>
                <w:b w:val="0"/>
                <w:sz w:val="20"/>
              </w:rPr>
              <w:t>Prueba navegada final</w:t>
            </w:r>
          </w:p>
        </w:tc>
        <w:tc>
          <w:tcPr>
            <w:tcW w:type="dxa" w:w="4680"/>
            <w:vAlign w:val="center"/>
          </w:tcPr>
          <w:p>
            <w:r/>
            <w:r>
              <w:rPr>
                <w:rFonts w:ascii="Calibri" w:hAnsi="Calibri"/>
                <w:b w:val="0"/>
                <w:sz w:val="20"/>
              </w:rPr>
              <w:t>Validar en navegador con usuario autorizado y datos reales o de prueba.</w:t>
            </w:r>
          </w:p>
        </w:tc>
      </w:tr>
      <w:tr>
        <w:tc>
          <w:tcPr>
            <w:tcW w:type="dxa" w:w="4680"/>
            <w:vAlign w:val="center"/>
          </w:tcPr>
          <w:p>
            <w:r/>
            <w:r>
              <w:rPr>
                <w:rFonts w:ascii="Calibri" w:hAnsi="Calibri"/>
                <w:b w:val="0"/>
                <w:sz w:val="20"/>
              </w:rPr>
              <w:t>Capturas oficiales</w:t>
            </w:r>
          </w:p>
        </w:tc>
        <w:tc>
          <w:tcPr>
            <w:tcW w:type="dxa" w:w="4680"/>
            <w:vAlign w:val="center"/>
          </w:tcPr>
          <w:p>
            <w:r/>
            <w:r>
              <w:rPr>
                <w:rFonts w:ascii="Calibri" w:hAnsi="Calibri"/>
                <w:b w:val="0"/>
                <w:sz w:val="20"/>
              </w:rPr>
              <w:t>Tomar capturas actualizadas cuando la fase sea aprobada funcionalmente.</w:t>
            </w:r>
          </w:p>
        </w:tc>
      </w:tr>
      <w:tr>
        <w:tc>
          <w:tcPr>
            <w:tcW w:type="dxa" w:w="4680"/>
            <w:vAlign w:val="center"/>
          </w:tcPr>
          <w:p>
            <w:r/>
            <w:r>
              <w:rPr>
                <w:rFonts w:ascii="Calibri" w:hAnsi="Calibri"/>
                <w:b w:val="0"/>
                <w:sz w:val="20"/>
              </w:rPr>
              <w:t>Reporte ejecutivo ampliado</w:t>
            </w:r>
          </w:p>
        </w:tc>
        <w:tc>
          <w:tcPr>
            <w:tcW w:type="dxa" w:w="4680"/>
            <w:vAlign w:val="center"/>
          </w:tcPr>
          <w:p>
            <w:r/>
            <w:r>
              <w:rPr>
                <w:rFonts w:ascii="Calibri" w:hAnsi="Calibri"/>
                <w:b w:val="0"/>
                <w:sz w:val="20"/>
              </w:rPr>
              <w:t>Evaluar en una fase posterior si se requiere incluir detalle de seguimientos y evidencias en PDF.</w:t>
            </w:r>
          </w:p>
        </w:tc>
      </w:tr>
    </w:tbl>
    <w:p>
      <w:pPr>
        <w:pStyle w:val="Heading1"/>
      </w:pPr>
      <w:r>
        <w:rPr>
          <w:rFonts w:ascii="Calibri" w:hAnsi="Calibri"/>
        </w:rPr>
        <w:t>7. Cierre provisional</w:t>
      </w:r>
    </w:p>
    <w:p>
      <w:r>
        <w:t>La Fase 12 queda aprobada y cerrada como mejora ejecutiva del m?dulo Monitoreo de Listas. Esta fase no reabre fases anteriores ni modifica la independencia entre Monitoreo de Listas y Matrices de Riesgos.</w:t>
      </w:r>
    </w:p>
    <w:p>
      <w:pPr>
        <w:pStyle w:val="Heading1"/>
      </w:pPr>
      <w:r>
        <w:rPr>
          <w:rFonts w:ascii="Calibri" w:hAnsi="Calibri"/>
        </w:rPr>
        <w:t>8. Ajuste de exportaci?n PDF formal</w:t>
      </w:r>
    </w:p>
    <w:p>
      <w:r>
        <w:rPr>
          <w:rFonts w:ascii="Calibri" w:hAnsi="Calibri"/>
        </w:rPr>
        <w:t>Se corrigi? el formato del PDF principal del listado de Monitoreo de Listas. El encabezado ahora ocupa todo el ancho de la p?gina en orientaci?n horizontal, incluye filtros aplicados, resumen ejecutivo y una tabla con mejor jerarqu?a visual.</w:t>
      </w:r>
    </w:p>
    <w:tbl>
      <w:tblPr>
        <w:tblStyle w:val="TableGrid"/>
        <w:tblW w:type="auto" w:w="0"/>
        <w:tblLook w:firstColumn="1" w:firstRow="1" w:lastColumn="0" w:lastRow="0" w:noHBand="0" w:noVBand="1" w:val="04A0"/>
      </w:tblPr>
      <w:tblGrid>
        <w:gridCol w:w="4680"/>
        <w:gridCol w:w="4680"/>
      </w:tblGrid>
      <w:tr>
        <w:tc>
          <w:tcPr>
            <w:tcW w:type="dxa" w:w="4680"/>
            <w:shd w:fill="F2F4F7"/>
          </w:tcPr>
          <w:p>
            <w:r/>
            <w:r>
              <w:rPr>
                <w:rFonts w:ascii="Calibri" w:hAnsi="Calibri"/>
                <w:b/>
                <w:sz w:val="20"/>
              </w:rPr>
              <w:t>Elemento corregido</w:t>
            </w:r>
          </w:p>
        </w:tc>
        <w:tc>
          <w:tcPr>
            <w:tcW w:type="dxa" w:w="4680"/>
            <w:shd w:fill="F2F4F7"/>
          </w:tcPr>
          <w:p>
            <w:r/>
            <w:r>
              <w:rPr>
                <w:rFonts w:ascii="Calibri" w:hAnsi="Calibri"/>
                <w:b/>
                <w:sz w:val="20"/>
              </w:rPr>
              <w:t>Resultado</w:t>
            </w:r>
          </w:p>
        </w:tc>
      </w:tr>
      <w:tr>
        <w:tc>
          <w:tcPr>
            <w:tcW w:type="dxa" w:w="4680"/>
          </w:tcPr>
          <w:p>
            <w:r/>
            <w:r>
              <w:rPr>
                <w:rFonts w:ascii="Calibri" w:hAnsi="Calibri"/>
                <w:b w:val="0"/>
                <w:sz w:val="20"/>
              </w:rPr>
              <w:t>Encabezado del PDF</w:t>
            </w:r>
          </w:p>
        </w:tc>
        <w:tc>
          <w:tcPr>
            <w:tcW w:type="dxa" w:w="4680"/>
          </w:tcPr>
          <w:p>
            <w:r/>
            <w:r>
              <w:rPr>
                <w:rFonts w:ascii="Calibri" w:hAnsi="Calibri"/>
                <w:b w:val="0"/>
                <w:sz w:val="20"/>
              </w:rPr>
              <w:t>Banda institucional completa, sin bloque visual cortado ni espacio blanco desbalanceado.</w:t>
            </w:r>
          </w:p>
        </w:tc>
      </w:tr>
      <w:tr>
        <w:tc>
          <w:tcPr>
            <w:tcW w:type="dxa" w:w="4680"/>
          </w:tcPr>
          <w:p>
            <w:r/>
            <w:r>
              <w:rPr>
                <w:rFonts w:ascii="Calibri" w:hAnsi="Calibri"/>
                <w:b w:val="0"/>
                <w:sz w:val="20"/>
              </w:rPr>
              <w:t>Resumen ejecutivo</w:t>
            </w:r>
          </w:p>
        </w:tc>
        <w:tc>
          <w:tcPr>
            <w:tcW w:type="dxa" w:w="4680"/>
          </w:tcPr>
          <w:p>
            <w:r/>
            <w:r>
              <w:rPr>
                <w:rFonts w:ascii="Calibri" w:hAnsi="Calibri"/>
                <w:b w:val="0"/>
                <w:sz w:val="20"/>
              </w:rPr>
              <w:t>Incluye registros filtrados, pendientes, registros con motivo y cerrados/pasivos.</w:t>
            </w:r>
          </w:p>
        </w:tc>
      </w:tr>
      <w:tr>
        <w:tc>
          <w:tcPr>
            <w:tcW w:type="dxa" w:w="4680"/>
          </w:tcPr>
          <w:p>
            <w:r/>
            <w:r>
              <w:rPr>
                <w:rFonts w:ascii="Calibri" w:hAnsi="Calibri"/>
                <w:b w:val="0"/>
                <w:sz w:val="20"/>
              </w:rPr>
              <w:t>Tabla principal</w:t>
            </w:r>
          </w:p>
        </w:tc>
        <w:tc>
          <w:tcPr>
            <w:tcW w:type="dxa" w:w="4680"/>
          </w:tcPr>
          <w:p>
            <w:r/>
            <w:r>
              <w:rPr>
                <w:rFonts w:ascii="Calibri" w:hAnsi="Calibri"/>
                <w:b w:val="0"/>
                <w:sz w:val="20"/>
              </w:rPr>
              <w:t>Encabezado azul, filas alternadas, salto de l?nea interno y pie de p?gina consistente.</w:t>
            </w:r>
          </w:p>
        </w:tc>
      </w:tr>
      <w:tr>
        <w:tc>
          <w:tcPr>
            <w:tcW w:type="dxa" w:w="4680"/>
          </w:tcPr>
          <w:p>
            <w:r/>
            <w:r>
              <w:rPr>
                <w:rFonts w:ascii="Calibri" w:hAnsi="Calibri"/>
                <w:b w:val="0"/>
                <w:sz w:val="20"/>
              </w:rPr>
              <w:t>Auditor?a</w:t>
            </w:r>
          </w:p>
        </w:tc>
        <w:tc>
          <w:tcPr>
            <w:tcW w:type="dxa" w:w="4680"/>
          </w:tcPr>
          <w:p>
            <w:r/>
            <w:r>
              <w:rPr>
                <w:rFonts w:ascii="Calibri" w:hAnsi="Calibri"/>
                <w:b w:val="0"/>
                <w:sz w:val="20"/>
              </w:rPr>
              <w:t>Se conserva el registro obligatorio de exportaci?n antes de guardar el archivo.</w:t>
            </w:r>
          </w:p>
        </w:tc>
      </w:tr>
    </w:tbl>
    <w:p>
      <w:pPr>
        <w:pStyle w:val="Heading1"/>
      </w:pPr>
      <w:r>
        <w:rPr>
          <w:rFonts w:ascii="Calibri" w:hAnsi="Calibri"/>
        </w:rPr>
        <w:t>9. Continuidad recomendada</w:t>
      </w:r>
    </w:p>
    <w:p>
      <w:r>
        <w:rPr>
          <w:rFonts w:ascii="Calibri" w:hAnsi="Calibri"/>
        </w:rPr>
        <w:t>La siguiente continuidad de esta mejora debe enfocarse en la vista de detalle lateral de Monitoreo de Listas: mostrar datos del sujeto, motivo registrado, seguimientos, evidencias y acciones disponibles en tarjetas separadas, manteniendo la b?squeda autom?tica y la exportaci?n filtrada.</w:t>
      </w:r>
    </w:p>
    <w:p>
      <w:pPr>
        <w:pStyle w:val="Heading1"/>
      </w:pPr>
      <w:r>
        <w:t>10. Detalle ejecutivo de coincidencias</w:t>
      </w:r>
    </w:p>
    <w:p>
      <w:r>
        <w:t>Se redise?? el modal de detalle para mostrar informaci?n en tarjetas independientes antes de la tabla t?cnica. Esto permite que el usuario identifique r?pidamente el sujeto, documento, lista de coincidencia, estado operativo, total de coincidencias, empresas relacionadas y acci?n recomendada.</w:t>
      </w:r>
    </w:p>
    <w:tbl>
      <w:tblPr>
        <w:tblStyle w:val="TableGrid"/>
        <w:tblW w:type="auto" w:w="0"/>
        <w:tblLook w:firstColumn="1" w:firstRow="1" w:lastColumn="0" w:lastRow="0" w:noHBand="0" w:noVBand="1" w:val="04A0"/>
      </w:tblPr>
      <w:tblGrid>
        <w:gridCol w:w="4680"/>
        <w:gridCol w:w="4680"/>
      </w:tblGrid>
      <w:tr>
        <w:tc>
          <w:tcPr>
            <w:tcW w:type="dxa" w:w="4680"/>
            <w:shd w:fill="F2F4F7"/>
          </w:tcPr>
          <w:p>
            <w:r/>
            <w:r>
              <w:rPr>
                <w:rFonts w:ascii="Calibri" w:hAnsi="Calibri"/>
                <w:b/>
                <w:sz w:val="20"/>
              </w:rPr>
              <w:t>Elemento</w:t>
            </w:r>
          </w:p>
        </w:tc>
        <w:tc>
          <w:tcPr>
            <w:tcW w:type="dxa" w:w="4680"/>
            <w:shd w:fill="F2F4F7"/>
          </w:tcPr>
          <w:p>
            <w:r/>
            <w:r>
              <w:rPr>
                <w:rFonts w:ascii="Calibri" w:hAnsi="Calibri"/>
                <w:b/>
                <w:sz w:val="20"/>
              </w:rPr>
              <w:t>Resultado funcional</w:t>
            </w:r>
          </w:p>
        </w:tc>
      </w:tr>
      <w:tr>
        <w:tc>
          <w:tcPr>
            <w:tcW w:type="dxa" w:w="4680"/>
          </w:tcPr>
          <w:p>
            <w:r/>
            <w:r>
              <w:rPr>
                <w:rFonts w:ascii="Calibri" w:hAnsi="Calibri"/>
                <w:b w:val="0"/>
                <w:sz w:val="20"/>
              </w:rPr>
              <w:t>Tarjeta de sujeto identificado</w:t>
            </w:r>
          </w:p>
        </w:tc>
        <w:tc>
          <w:tcPr>
            <w:tcW w:type="dxa" w:w="4680"/>
          </w:tcPr>
          <w:p>
            <w:r/>
            <w:r>
              <w:rPr>
                <w:rFonts w:ascii="Calibri" w:hAnsi="Calibri"/>
                <w:b w:val="0"/>
                <w:sz w:val="20"/>
              </w:rPr>
              <w:t>Muestra nombre, identidad o n?mero de identificaci?n del registro seleccionado.</w:t>
            </w:r>
          </w:p>
        </w:tc>
      </w:tr>
      <w:tr>
        <w:tc>
          <w:tcPr>
            <w:tcW w:type="dxa" w:w="4680"/>
          </w:tcPr>
          <w:p>
            <w:r/>
            <w:r>
              <w:rPr>
                <w:rFonts w:ascii="Calibri" w:hAnsi="Calibri"/>
                <w:b w:val="0"/>
                <w:sz w:val="20"/>
              </w:rPr>
              <w:t>Tarjeta de lista de coincidencia</w:t>
            </w:r>
          </w:p>
        </w:tc>
        <w:tc>
          <w:tcPr>
            <w:tcW w:type="dxa" w:w="4680"/>
          </w:tcPr>
          <w:p>
            <w:r/>
            <w:r>
              <w:rPr>
                <w:rFonts w:ascii="Calibri" w:hAnsi="Calibri"/>
                <w:b w:val="0"/>
                <w:sz w:val="20"/>
              </w:rPr>
              <w:t>Destaca la lista fuente del registro para revisi?n r?pida.</w:t>
            </w:r>
          </w:p>
        </w:tc>
      </w:tr>
      <w:tr>
        <w:tc>
          <w:tcPr>
            <w:tcW w:type="dxa" w:w="4680"/>
          </w:tcPr>
          <w:p>
            <w:r/>
            <w:r>
              <w:rPr>
                <w:rFonts w:ascii="Calibri" w:hAnsi="Calibri"/>
                <w:b w:val="0"/>
                <w:sz w:val="20"/>
              </w:rPr>
              <w:t>Tarjeta de estado operativo</w:t>
            </w:r>
          </w:p>
        </w:tc>
        <w:tc>
          <w:tcPr>
            <w:tcW w:type="dxa" w:w="4680"/>
          </w:tcPr>
          <w:p>
            <w:r/>
            <w:r>
              <w:rPr>
                <w:rFonts w:ascii="Calibri" w:hAnsi="Calibri"/>
                <w:b w:val="0"/>
                <w:sz w:val="20"/>
              </w:rPr>
              <w:t>Muestra Pendiente, Con motivo o Cerrado/Pasivo usando la misma regla del listado.</w:t>
            </w:r>
          </w:p>
        </w:tc>
      </w:tr>
      <w:tr>
        <w:tc>
          <w:tcPr>
            <w:tcW w:type="dxa" w:w="4680"/>
          </w:tcPr>
          <w:p>
            <w:r/>
            <w:r>
              <w:rPr>
                <w:rFonts w:ascii="Calibri" w:hAnsi="Calibri"/>
                <w:b w:val="0"/>
                <w:sz w:val="20"/>
              </w:rPr>
              <w:t>Resumen operativo</w:t>
            </w:r>
          </w:p>
        </w:tc>
        <w:tc>
          <w:tcPr>
            <w:tcW w:type="dxa" w:w="4680"/>
          </w:tcPr>
          <w:p>
            <w:r/>
            <w:r>
              <w:rPr>
                <w:rFonts w:ascii="Calibri" w:hAnsi="Calibri"/>
                <w:b w:val="0"/>
                <w:sz w:val="20"/>
              </w:rPr>
              <w:t>Separa total de coincidencias, empresas relacionadas, PEP o relaci?n IHSS y acci?n recomendada.</w:t>
            </w:r>
          </w:p>
        </w:tc>
      </w:tr>
      <w:tr>
        <w:tc>
          <w:tcPr>
            <w:tcW w:type="dxa" w:w="4680"/>
          </w:tcPr>
          <w:p>
            <w:r/>
            <w:r>
              <w:rPr>
                <w:rFonts w:ascii="Calibri" w:hAnsi="Calibri"/>
                <w:b w:val="0"/>
                <w:sz w:val="20"/>
              </w:rPr>
              <w:t>Tabla t?cnica</w:t>
            </w:r>
          </w:p>
        </w:tc>
        <w:tc>
          <w:tcPr>
            <w:tcW w:type="dxa" w:w="4680"/>
          </w:tcPr>
          <w:p>
            <w:r/>
            <w:r>
              <w:rPr>
                <w:rFonts w:ascii="Calibri" w:hAnsi="Calibri"/>
                <w:b w:val="0"/>
                <w:sz w:val="20"/>
              </w:rPr>
              <w:t>Se conserva como soporte detallado, pero deja de ser la primera lectura visual del usuario.</w:t>
            </w:r>
          </w:p>
        </w:tc>
      </w:tr>
    </w:tbl>
    <w:p>
      <w:pPr>
        <w:pStyle w:val="Heading1"/>
      </w:pPr>
      <w:r>
        <w:t>11. Cierre formal de Fase 12</w:t>
      </w:r>
    </w:p>
    <w:p>
      <w:r>
        <w:t>Por aprobaci?n de Javier Mej?a, la Fase 12 queda formalmente aprobada y cerrada. La mejora ejecutiva del m?dulo Monitoreo de Listas queda incorporada como base funcional del sistema, manteniendo la independencia total respecto al m?dulo Matrices de Riesgos.</w:t>
      </w:r>
    </w:p>
    <w:tbl>
      <w:tblPr>
        <w:tblStyle w:val="TableGrid"/>
        <w:tblW w:type="auto" w:w="0"/>
        <w:tblLook w:firstColumn="1" w:firstRow="1" w:lastColumn="0" w:lastRow="0" w:noHBand="0" w:noVBand="1" w:val="04A0"/>
      </w:tblPr>
      <w:tblGrid>
        <w:gridCol w:w="4680"/>
        <w:gridCol w:w="4680"/>
      </w:tblGrid>
      <w:tr>
        <w:tc>
          <w:tcPr>
            <w:tcW w:type="dxa" w:w="4680"/>
            <w:shd w:fill="F2F4F7"/>
          </w:tcPr>
          <w:p>
            <w:r/>
            <w:r>
              <w:rPr>
                <w:rFonts w:ascii="Calibri" w:hAnsi="Calibri"/>
                <w:b/>
                <w:sz w:val="20"/>
              </w:rPr>
              <w:t>Elemento validado</w:t>
            </w:r>
          </w:p>
        </w:tc>
        <w:tc>
          <w:tcPr>
            <w:tcW w:type="dxa" w:w="4680"/>
            <w:shd w:fill="F2F4F7"/>
          </w:tcPr>
          <w:p>
            <w:r/>
            <w:r>
              <w:rPr>
                <w:rFonts w:ascii="Calibri" w:hAnsi="Calibri"/>
                <w:b/>
                <w:sz w:val="20"/>
              </w:rPr>
              <w:t>Resultado de cierre</w:t>
            </w:r>
          </w:p>
        </w:tc>
      </w:tr>
      <w:tr>
        <w:tc>
          <w:tcPr>
            <w:tcW w:type="dxa" w:w="4680"/>
          </w:tcPr>
          <w:p>
            <w:r/>
            <w:r>
              <w:rPr>
                <w:rFonts w:ascii="Calibri" w:hAnsi="Calibri"/>
                <w:b w:val="0"/>
                <w:sz w:val="20"/>
              </w:rPr>
              <w:t>Vista ejecutiva</w:t>
            </w:r>
          </w:p>
        </w:tc>
        <w:tc>
          <w:tcPr>
            <w:tcW w:type="dxa" w:w="4680"/>
          </w:tcPr>
          <w:p>
            <w:r/>
            <w:r>
              <w:rPr>
                <w:rFonts w:ascii="Calibri" w:hAnsi="Calibri"/>
                <w:b w:val="0"/>
                <w:sz w:val="20"/>
              </w:rPr>
              <w:t>Aprobada con tarjetas KPI, vista seleccionada y distribuci?n por lista.</w:t>
            </w:r>
          </w:p>
        </w:tc>
      </w:tr>
      <w:tr>
        <w:tc>
          <w:tcPr>
            <w:tcW w:type="dxa" w:w="4680"/>
          </w:tcPr>
          <w:p>
            <w:r/>
            <w:r>
              <w:rPr>
                <w:rFonts w:ascii="Calibri" w:hAnsi="Calibri"/>
                <w:b w:val="0"/>
                <w:sz w:val="20"/>
              </w:rPr>
              <w:t>Filtros</w:t>
            </w:r>
          </w:p>
        </w:tc>
        <w:tc>
          <w:tcPr>
            <w:tcW w:type="dxa" w:w="4680"/>
          </w:tcPr>
          <w:p>
            <w:r/>
            <w:r>
              <w:rPr>
                <w:rFonts w:ascii="Calibri" w:hAnsi="Calibri"/>
                <w:b w:val="0"/>
                <w:sz w:val="20"/>
              </w:rPr>
              <w:t>Aprobados con b?squeda autom?tica, fechas, estado, limpieza y cantidad de registros.</w:t>
            </w:r>
          </w:p>
        </w:tc>
      </w:tr>
      <w:tr>
        <w:tc>
          <w:tcPr>
            <w:tcW w:type="dxa" w:w="4680"/>
          </w:tcPr>
          <w:p>
            <w:r/>
            <w:r>
              <w:rPr>
                <w:rFonts w:ascii="Calibri" w:hAnsi="Calibri"/>
                <w:b w:val="0"/>
                <w:sz w:val="20"/>
              </w:rPr>
              <w:t>Exportaciones</w:t>
            </w:r>
          </w:p>
        </w:tc>
        <w:tc>
          <w:tcPr>
            <w:tcW w:type="dxa" w:w="4680"/>
          </w:tcPr>
          <w:p>
            <w:r/>
            <w:r>
              <w:rPr>
                <w:rFonts w:ascii="Calibri" w:hAnsi="Calibri"/>
                <w:b w:val="0"/>
                <w:sz w:val="20"/>
              </w:rPr>
              <w:t>Aprobadas con Excel y PDF filtrados, conservando auditor?a obligatoria.</w:t>
            </w:r>
          </w:p>
        </w:tc>
      </w:tr>
      <w:tr>
        <w:tc>
          <w:tcPr>
            <w:tcW w:type="dxa" w:w="4680"/>
          </w:tcPr>
          <w:p>
            <w:r/>
            <w:r>
              <w:rPr>
                <w:rFonts w:ascii="Calibri" w:hAnsi="Calibri"/>
                <w:b w:val="0"/>
                <w:sz w:val="20"/>
              </w:rPr>
              <w:t>Detalle de coincidencia</w:t>
            </w:r>
          </w:p>
        </w:tc>
        <w:tc>
          <w:tcPr>
            <w:tcW w:type="dxa" w:w="4680"/>
          </w:tcPr>
          <w:p>
            <w:r/>
            <w:r>
              <w:rPr>
                <w:rFonts w:ascii="Calibri" w:hAnsi="Calibri"/>
                <w:b w:val="0"/>
                <w:sz w:val="20"/>
              </w:rPr>
              <w:t>Aprobado con tarjetas separadas y tabla t?cnica como soporte.</w:t>
            </w:r>
          </w:p>
        </w:tc>
      </w:tr>
      <w:tr>
        <w:tc>
          <w:tcPr>
            <w:tcW w:type="dxa" w:w="4680"/>
          </w:tcPr>
          <w:p>
            <w:r/>
            <w:r>
              <w:rPr>
                <w:rFonts w:ascii="Calibri" w:hAnsi="Calibri"/>
                <w:b w:val="0"/>
                <w:sz w:val="20"/>
              </w:rPr>
              <w:t>Separaci?n modular</w:t>
            </w:r>
          </w:p>
        </w:tc>
        <w:tc>
          <w:tcPr>
            <w:tcW w:type="dxa" w:w="4680"/>
          </w:tcPr>
          <w:p>
            <w:r/>
            <w:r>
              <w:rPr>
                <w:rFonts w:ascii="Calibri" w:hAnsi="Calibri"/>
                <w:b w:val="0"/>
                <w:sz w:val="20"/>
              </w:rPr>
              <w:t>Confirmada: Monitoreo de Listas no se conecta funcionalmente con Matrices de Riesgos.</w:t>
            </w:r>
          </w:p>
        </w:tc>
      </w:tr>
      <w:tr>
        <w:tc>
          <w:tcPr>
            <w:tcW w:type="dxa" w:w="4680"/>
          </w:tcPr>
          <w:p>
            <w:r/>
            <w:r>
              <w:rPr>
                <w:rFonts w:ascii="Calibri" w:hAnsi="Calibri"/>
                <w:b w:val="0"/>
                <w:sz w:val="20"/>
              </w:rPr>
              <w:t>Continuidad</w:t>
            </w:r>
          </w:p>
        </w:tc>
        <w:tc>
          <w:tcPr>
            <w:tcW w:type="dxa" w:w="4680"/>
          </w:tcPr>
          <w:p>
            <w:r/>
            <w:r>
              <w:rPr>
                <w:rFonts w:ascii="Calibri" w:hAnsi="Calibri"/>
                <w:b w:val="0"/>
                <w:sz w:val="20"/>
              </w:rPr>
              <w:t>Las mejoras futuras deber?n tratarse como mantenimiento evolutivo o nueva fase autorizada.</w:t>
            </w:r>
          </w:p>
        </w:tc>
      </w:tr>
    </w:tbl>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Fase 12 - Monitoreo de Listas | Javier Mej?a | Versi?n 1.3 | Aprobada y cerrada</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