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264" w:lineRule="auto"/>
        <w:jc w:val="center"/>
      </w:pPr>
      <w:r>
        <w:rPr>
          <w:rFonts w:ascii="Calibri" w:hAnsi="Calibri"/>
          <w:b/>
          <w:i w:val="0"/>
          <w:color w:val="606C80"/>
          <w:sz w:val="22"/>
        </w:rPr>
        <w:t>RIESGO_LAVADO / IHSS</w:t>
      </w:r>
    </w:p>
    <w:p>
      <w:pPr>
        <w:spacing w:before="0" w:after="120" w:line="264" w:lineRule="auto"/>
        <w:jc w:val="center"/>
      </w:pPr>
      <w:r>
        <w:rPr>
          <w:rFonts w:ascii="Calibri" w:hAnsi="Calibri"/>
          <w:b/>
          <w:i w:val="0"/>
          <w:color w:val="0B2545"/>
          <w:sz w:val="48"/>
        </w:rPr>
        <w:t>CIERRE MAESTRO FINAL DE FASE 1</w:t>
      </w:r>
    </w:p>
    <w:p>
      <w:pPr>
        <w:spacing w:before="0" w:after="400" w:line="264" w:lineRule="auto"/>
        <w:jc w:val="center"/>
      </w:pPr>
      <w:r>
        <w:rPr>
          <w:rFonts w:ascii="Calibri" w:hAnsi="Calibri"/>
          <w:b w:val="0"/>
          <w:i w:val="0"/>
          <w:color w:val="1F4E79"/>
          <w:sz w:val="30"/>
        </w:rPr>
        <w:t>Módulos Base y Módulo Monitoreo de Listas / Positivos</w:t>
      </w:r>
    </w:p>
    <w:p>
      <w:pPr>
        <w:spacing w:before="0" w:after="560" w:line="264" w:lineRule="auto"/>
        <w:jc w:val="center"/>
      </w:pPr>
      <w:r>
        <w:rPr>
          <w:rFonts w:ascii="Calibri" w:hAnsi="Calibri"/>
          <w:b w:val="0"/>
          <w:i w:val="0"/>
          <w:sz w:val="23"/>
        </w:rPr>
        <w:t>Documento único unificado para cierre funcional, técnico, QA, auditoría, arquitectura, base de datos y continuidad hacia Fase 2.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Campo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Detalle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Fecha de cierre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26 de junio de 2026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Fuentes absorbidas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Cierre_Final_Unificado_Modulo_Monitoreo_Listas.docx y Cierre_Final_Fase_1_Modulos_Base_Monitoreo_Listas.docx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Roles de revisión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QA, Auditoría, Arquitectura de Software, Análisis Funcional, Desarrollo, Base de Datos y Documentación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Dictamen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Fase 1 cerrada funcional y técnicamente, con reservas institucionales no bloqueantes documentadas.</w:t>
            </w:r>
          </w:p>
        </w:tc>
      </w:tr>
    </w:tbl>
    <w:p>
      <w:pPr>
        <w:spacing w:before="0" w:after="80" w:line="264" w:lineRule="auto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4EA"/>
          </w:tcPr>
          <w:p>
            <w:pPr>
              <w:spacing w:after="12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Resultado maestro: </w:t>
            </w:r>
            <w:r>
              <w:rPr>
                <w:rFonts w:ascii="Calibri" w:hAnsi="Calibri"/>
                <w:b w:val="0"/>
                <w:i w:val="0"/>
                <w:sz w:val="22"/>
              </w:rPr>
              <w:t>El sistema queda apto para cierre de Fase 1. El punto de seguimiento de noticias queda cerrado como observación resuelta mediante el origen de registro NOTICIA_PRENSA y el seguimiento inicial opcional, sin requerir un módulo separado.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1. Dictamen ejecutivo de cierre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B2545"/>
          <w:sz w:val="22"/>
        </w:rPr>
        <w:t xml:space="preserve">Cierre final: </w:t>
      </w:r>
      <w:r>
        <w:rPr>
          <w:rFonts w:ascii="Calibri" w:hAnsi="Calibri"/>
          <w:b w:val="0"/>
          <w:i w:val="0"/>
          <w:sz w:val="22"/>
        </w:rPr>
        <w:t>Se declara cerrado el alcance de Fase 1 para módulos base y Monitoreo de Listas / Positivos. El cierre se sustenta en documentación cliente, documentos de Codex, documentos de ChatGPT, código fuente, scripts SQL, arquitectura verificada, build backend, build frontend y revisión de flujo funcional.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B2545"/>
          <w:sz w:val="22"/>
        </w:rPr>
        <w:t xml:space="preserve">Cierre con control institucional: </w:t>
      </w:r>
      <w:r>
        <w:rPr>
          <w:rFonts w:ascii="Calibri" w:hAnsi="Calibri"/>
          <w:b w:val="0"/>
          <w:i w:val="0"/>
          <w:sz w:val="22"/>
        </w:rPr>
        <w:t>La salida productiva requiere UAT con Oracle, datos reales/controlados, permisos DNP_IHSS y Active Directory institucional. Esta reserva no bloquea el cierre técnico/documental de la fase.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B2545"/>
          <w:sz w:val="22"/>
        </w:rPr>
        <w:t xml:space="preserve">Fase siguiente: </w:t>
      </w:r>
      <w:r>
        <w:rPr>
          <w:rFonts w:ascii="Calibri" w:hAnsi="Calibri"/>
          <w:b w:val="0"/>
          <w:i w:val="0"/>
          <w:sz w:val="22"/>
        </w:rPr>
        <w:t>Matriz o Matrices de Riesgos queda formalmente separada como Fase 2. No se detectó implementación funcional actual de Matriz de Riesgos dentro del backend, frontend o base de datos propia de Fase 1.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2. Documentos absorbidos y criterio de versión única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4860"/>
        <w:gridCol w:w="200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Documento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Aporte absorbido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Estado final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Cierre_Final_Unificado_Modulo_Monitoreo_Listas.docx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Aportó la estructura amplia de cierre, fuentes revisadas, lenguaje común, arquitectura técnica y acciones institucionales.</w:t>
            </w:r>
          </w:p>
        </w:tc>
        <w:tc>
          <w:tcPr>
            <w:tcW w:type="dxa" w:w="2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Reemplazado por este documento maestro.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Cierre_Final_Fase_1_Modulos_Base_Monitoreo_Listas.docx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Aportó el dictamen final de fase, QA técnico, cambios aplicados, reservas no bloqueantes y criterio de eliminación documental.</w:t>
            </w:r>
          </w:p>
        </w:tc>
        <w:tc>
          <w:tcPr>
            <w:tcW w:type="dxa" w:w="2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Reemplazado por este documento maestro.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Documentos previos eliminados o archivables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Documento_Cierre_Fase_1_Modulos_Base_Monitoreo_Listas.docx y Cierre Final Modulos Base y Monitoreo de Listas.docx fueron absorbidos por cierres posteriores.</w:t>
            </w:r>
          </w:p>
        </w:tc>
        <w:tc>
          <w:tcPr>
            <w:tcW w:type="dxa" w:w="2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 deben operar como referencia vigente.</w:t>
            </w:r>
          </w:p>
        </w:tc>
      </w:tr>
    </w:tbl>
    <w:p>
      <w:pPr>
        <w:spacing w:before="0" w:after="80" w:line="264" w:lineRule="auto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12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Regla documental: </w:t>
            </w:r>
            <w:r>
              <w:rPr>
                <w:rFonts w:ascii="Calibri" w:hAnsi="Calibri"/>
                <w:b w:val="0"/>
                <w:i w:val="0"/>
                <w:sz w:val="22"/>
              </w:rPr>
              <w:t>Este archivo debe quedar como la única referencia de cierre final de Fase 1. Los documentos anteriores pueden conservarse solo como evidencia histórica o eliminarse cuando no estén bloqueados por Word.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3. Lenguaje común Codex - ChatGPT - Usuario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sz w:val="22"/>
        </w:rPr>
        <w:t>Para que Codex y ChatGPT trabajen con el mismo idioma, toda revisión futura debe aterrizar sus conclusiones bajo el siguiente contrato común.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Campo común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Uso obligatorio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Fuente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Documento, archivo, script, endpoint, tabla, pantalla o requerimiento del cliente que sostiene la afirmación.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Evidencia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Prueba observable en código, SQL, documentación, build, render, screenshot o UAT. Si no existe evidencia, se marca como supuesto.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Cerrado, cerrado con reserva, observación resuelta, pendiente por decisión, pendiente técnico, fuera de alcance o fase siguiente.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Impacto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Efecto sobre cierre, producción, seguridad, cumplimiento, usuario final, base de datos o continuidad del siguiente módulo.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Decisión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Qué queda aprobado, qué se separa, qué se conserva como reserva y qué no debe mezclarse con la fase cerrada.</w:t>
            </w:r>
          </w:p>
        </w:tc>
      </w:tr>
      <w:tr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Siguiente acción</w:t>
            </w:r>
          </w:p>
        </w:tc>
        <w:tc>
          <w:tcPr>
            <w:tcW w:type="dxa" w:w="72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Acción concreta, responsable sugerido y momento: antes de producción, durante UAT o al iniciar Fase 2.</w:t>
            </w:r>
          </w:p>
        </w:tc>
      </w:tr>
    </w:tbl>
    <w:p>
      <w:pPr>
        <w:spacing w:before="0" w:after="80" w:line="264" w:lineRule="auto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12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Regla de coordinación: </w:t>
            </w:r>
            <w:r>
              <w:rPr>
                <w:rFonts w:ascii="Calibri" w:hAnsi="Calibri"/>
                <w:b w:val="0"/>
                <w:i w:val="0"/>
                <w:sz w:val="22"/>
              </w:rPr>
              <w:t>Codex debe priorizar evidencia técnica directa del repositorio y QA ejecutable. ChatGPT debe priorizar coherencia documental, lectura de negocio y continuidad metodológica. Ambos deben usar los mismos campos anteriores para evitar análisis incompatibles.</w:t>
            </w:r>
          </w:p>
        </w:tc>
      </w:tr>
    </w:tbl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4. Alcance funcional cerrado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Autenticación, sesión, JWT, cierre de sesión, guards frontend, interceptor HTTP y protección por módulo.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Usuarios, roles, permisos por módulo, configuración institucional y catálogos base.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Bitácora y auditoría de operaciones sensibles, exportaciones e impresión.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Monitoreo de listas para personas jurídicas, personas naturales, empleados y positivos.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Tipos de listas, carga de listas de cautela y consulta de detalle coincidente.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Coincidencias de patronos y empleados, calificación, estado y evidencia de análisis.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Positivos automáticos y manuales, motivo de ingreso, origen del registro y lista coincidente.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Seguimientos, evidencias, descarga, eliminación lógica con motivo, PDF y Excel.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5. Arquitectura técnica verificada del proyecto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5460"/>
        <w:gridCol w:w="210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Capa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Tecnología / evidencia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Estado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.NET 10 / ASP.NET Core en backend/RL.API, controladores, servicios, repositorios, DTOs, JWT, Serilog y Oracle Managed Data Access.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Verificado. Build correcto con 0 errores y 0 advertencias.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Angular 22 en frontend/rl-app, rutas protegidas, componentes administrativos y módulo monitoreo-listas.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Verificado. Build correcto sin advertencias después de declarar CommonJS permitidos.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datos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Oracle con esquema RIESGO_LAVADO para tablas propias RL_* y dependencia institucional DNP_IHSS para listas/coincidencias.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documentalmente. No se ejecutaron cambios contra datos reales.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Seguridad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Autenticación JWT, permisos por módulo, atributo ModuloAuthorize, guards y separación de responsabilidades por rol.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Cerrado con validación institucional pendiente.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Auditoría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AuditoriaRepository, bitácora, seguimiento histórico, evidencia y trazabilidad de impresión/exportación.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Cerrado.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Integración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Active Directory marcado explícitamente como Windows-only; operación real requiere entorno Windows institucional.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Cerrado con reserva de ambiente.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Documentación</w:t>
            </w:r>
          </w:p>
        </w:tc>
        <w:tc>
          <w:tcPr>
            <w:tcW w:type="dxa" w:w="54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Docs del cliente, Codex, ChatGPT, arquitectura, SQL y cierre maestro final.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Unificado.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6. Punto especial: Seguimiento de noticias Activo/Pasivo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4EA"/>
          </w:tcPr>
          <w:p>
            <w:pPr>
              <w:spacing w:after="12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Decisión final: </w:t>
            </w:r>
            <w:r>
              <w:rPr>
                <w:rFonts w:ascii="Calibri" w:hAnsi="Calibri"/>
                <w:b w:val="0"/>
                <w:i w:val="0"/>
                <w:sz w:val="22"/>
              </w:rPr>
              <w:t>El punto no queda pendiente como módulo nuevo. Queda cubierto como observación resuelta mediante el flujo existente de lista de positivos.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5060"/>
        <w:gridCol w:w="240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4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Elemento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4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Evidencia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4E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Conclusión</w:t>
            </w:r>
          </w:p>
        </w:tc>
      </w:tr>
      <w:tr>
        <w:tc>
          <w:tcPr>
            <w:tcW w:type="dxa" w:w="19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Origen del registro</w:t>
            </w:r>
          </w:p>
        </w:tc>
        <w:tc>
          <w:tcPr>
            <w:tcW w:type="dxa" w:w="50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La pantalla permite seleccionar 'Noticia / Prensa / Medio externo' como origen del registro.</w:t>
            </w:r>
          </w:p>
        </w:tc>
        <w:tc>
          <w:tcPr>
            <w:tcW w:type="dxa" w:w="24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Cubre el caso operativo mencionado por el cliente y validado por jefatura.</w:t>
            </w:r>
          </w:p>
        </w:tc>
      </w:tr>
      <w:tr>
        <w:tc>
          <w:tcPr>
            <w:tcW w:type="dxa" w:w="19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</w:t>
            </w:r>
          </w:p>
        </w:tc>
        <w:tc>
          <w:tcPr>
            <w:tcW w:type="dxa" w:w="50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CatalogoPositivosDto, ListasRepository y el script 16 contemplan LSP_ORIGEN_REGISTRO con valor NOTICIA_PRENSA.</w:t>
            </w:r>
          </w:p>
        </w:tc>
        <w:tc>
          <w:tcPr>
            <w:tcW w:type="dxa" w:w="24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La persistencia queda soportada sin crear una tabla o módulo de noticias.</w:t>
            </w:r>
          </w:p>
        </w:tc>
      </w:tr>
      <w:tr>
        <w:tc>
          <w:tcPr>
            <w:tcW w:type="dxa" w:w="19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Seguimiento</w:t>
            </w:r>
          </w:p>
        </w:tc>
        <w:tc>
          <w:tcPr>
            <w:tcW w:type="dxa" w:w="50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El formulario incluye primer seguimiento opcional y el módulo mantiene historial de gestiones.</w:t>
            </w:r>
          </w:p>
        </w:tc>
        <w:tc>
          <w:tcPr>
            <w:tcW w:type="dxa" w:w="24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Permite documentar seguimiento inicial y posteriores gestiones.</w:t>
            </w:r>
          </w:p>
        </w:tc>
      </w:tr>
      <w:tr>
        <w:tc>
          <w:tcPr>
            <w:tcW w:type="dxa" w:w="19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Estado final</w:t>
            </w:r>
          </w:p>
        </w:tc>
        <w:tc>
          <w:tcPr>
            <w:tcW w:type="dxa" w:w="50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Antes aparecía como pendiente por decisión funcional.</w:t>
            </w:r>
          </w:p>
        </w:tc>
        <w:tc>
          <w:tcPr>
            <w:tcW w:type="dxa" w:w="24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Ahora debe registrarse como observación cerrada dentro del alcance de Fase 1.</w:t>
            </w:r>
          </w:p>
        </w:tc>
      </w:tr>
    </w:tbl>
    <w:p>
      <w:pPr>
        <w:spacing w:before="0" w:after="80" w:line="264" w:lineRule="auto"/>
      </w:pPr>
    </w:p>
    <w:p>
      <w:pPr>
        <w:spacing w:before="0" w:after="120" w:line="264" w:lineRule="auto"/>
      </w:pPr>
      <w:r>
        <w:rPr>
          <w:rFonts w:ascii="Calibri" w:hAnsi="Calibri"/>
          <w:b w:val="0"/>
          <w:i/>
          <w:color w:val="606C80"/>
          <w:sz w:val="20"/>
        </w:rPr>
        <w:t>Evidencia visual suministrada por el usuario: formulario de registro de motivo en Lista de Positivos con origen 'Noticia / Prensa / Medio externo'.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53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68d9bcf-41c2-48b2-8e80-968cdba45a3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53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7. QA técnico ejecutado y resultado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4860"/>
        <w:gridCol w:w="2800"/>
      </w:tblGrid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Área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Validación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Resultado</w:t>
            </w:r>
          </w:p>
        </w:tc>
      </w:tr>
      <w:tr>
        <w:tc>
          <w:tcPr>
            <w:tcW w:type="dxa" w:w="17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dotnet build backend/RL.API/RL.API.csproj -t:Rebuild</w:t>
            </w:r>
          </w:p>
        </w:tc>
        <w:tc>
          <w:tcPr>
            <w:tcW w:type="dxa" w:w="2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Aprobado: 0 errores, 0 advertencias.</w:t>
            </w:r>
          </w:p>
        </w:tc>
      </w:tr>
      <w:tr>
        <w:tc>
          <w:tcPr>
            <w:tcW w:type="dxa" w:w="17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npm run build en frontend/rl-app</w:t>
            </w:r>
          </w:p>
        </w:tc>
        <w:tc>
          <w:tcPr>
            <w:tcW w:type="dxa" w:w="2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Aprobado: compilación correcta sin advertencias CommonJS.</w:t>
            </w:r>
          </w:p>
        </w:tc>
      </w:tr>
      <w:tr>
        <w:tc>
          <w:tcPr>
            <w:tcW w:type="dxa" w:w="17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datos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Revisión y blindaje de scripts de actualización.</w:t>
            </w:r>
          </w:p>
        </w:tc>
        <w:tc>
          <w:tcPr>
            <w:tcW w:type="dxa" w:w="2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Aprobado documentalmente: flujo seguro separado y scripts críticos idempotentes.</w:t>
            </w:r>
          </w:p>
        </w:tc>
      </w:tr>
      <w:tr>
        <w:tc>
          <w:tcPr>
            <w:tcW w:type="dxa" w:w="17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Documentación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DOCX generado y renderizado con LibreOffice/Poppler para QA visual.</w:t>
            </w:r>
          </w:p>
        </w:tc>
        <w:tc>
          <w:tcPr>
            <w:tcW w:type="dxa" w:w="2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Aprobado al generar este cierre maestro.</w:t>
            </w:r>
          </w:p>
        </w:tc>
      </w:tr>
      <w:tr>
        <w:tc>
          <w:tcPr>
            <w:tcW w:type="dxa" w:w="17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Pruebas unitarias</w:t>
            </w:r>
          </w:p>
        </w:tc>
        <w:tc>
          <w:tcPr>
            <w:tcW w:type="dxa" w:w="48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Búsqueda de proyectos *Tests*.csproj.</w:t>
            </w:r>
          </w:p>
        </w:tc>
        <w:tc>
          <w:tcPr>
            <w:tcW w:type="dxa" w:w="28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 se detectaron proyectos de prueba automatizada en el repositorio.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8. Correcciones técnicas aplicadas sin alterar comportamiento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4760"/>
        <w:gridCol w:w="210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Archivo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Corrección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Impacto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backend/RL.API/RL.API.csproj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Retiro de paquetes innecesarios reportados por .NET 10.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advertencias de build sin cambiar lógica.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backend/RL.API/Program.cs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Declaración SupportedOSPlatform('windows').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 dependencia real por Active Directory.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backend/RL.API/Services/ActiveDirectorioService.cs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Servicio marcado como Windows-only.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warning de plataforma.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backend/RL.API/Services/AuthService.cs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Log explícito del error de envío de correo usando la variable ex.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variable sin uso y conserva flujo.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backend/RL.API/Repositories/ListasRepository.cs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Tratamiento explícito de nulos esperados en exportación, XML ONU y PEPS.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warnings de nulabilidad sin cambiar consultas.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frontend/rl-app/angular.json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allowedCommonJsDependencies para canvg, core-js, html2canvas, raf, rgbcolor y sweetalert2.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advertencias de build manteniendo dependencias actuales.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database/03, 06, 09, 13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Conversión a scripts idempotentes sin DROP ni reinicio de secuencias existentes.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Reduce riesgo de pérdida de datos por reejecución.</w:t>
            </w:r>
          </w:p>
        </w:tc>
      </w:tr>
      <w:tr>
        <w:tc>
          <w:tcPr>
            <w:tcW w:type="dxa" w:w="25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database/00_* y README</w:t>
            </w:r>
          </w:p>
        </w:tc>
        <w:tc>
          <w:tcPr>
            <w:tcW w:type="dxa" w:w="4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Separación entre primera vez y actualizaciones seguras.</w:t>
            </w:r>
          </w:p>
        </w:tc>
        <w:tc>
          <w:tcPr>
            <w:tcW w:type="dxa" w:w="21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 una forma institucional de ejecutar cambios sin borrar información.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9. Qué debe realizar el usuario o equipo institucional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Ejecutar UAT institucional con Oracle, Active Directory, datos reales o controlados y usuarios de Cumplimiento.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Solicitar al DBA/GTIC validación de permisos sobre DNP_IHSS, especialmente lectura de coincidencias y operación de listas de cautela.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Aprobar formalmente que el seguimiento de noticias queda cubierto por el origen NOTICIA_PRENSA, motivo, evidencia y seguimiento, sin crear módulo adicional en Fase 1.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Validar con Cumplimiento los flujos de positivo DNP, positivo manual, falso positivo, evidencia, eliminación con motivo, impresión y exportación.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Usar database/00_EJECUCION_ACTUALIZACIONES_SEGURAS.sql para ambientes existentes; no ejecutar scripts de construcción inicial sobre producción con datos.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Cerrar Microsoft Word si mantiene bloqueado algún documento anterior, para permitir limpieza documental completa.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sz w:val="22"/>
        </w:rPr>
        <w:t>Aprobar apertura de Fase 2 - Matrices de Riesgos con carpeta, documento de inicio, alcance, reglas de cálculo y criterios de aceptación propios.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10. Estrategia segura de base de datos y queries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B2545"/>
          <w:sz w:val="22"/>
        </w:rPr>
        <w:t xml:space="preserve">Principio: </w:t>
      </w:r>
      <w:r>
        <w:rPr>
          <w:rFonts w:ascii="Calibri" w:hAnsi="Calibri"/>
          <w:b w:val="0"/>
          <w:i w:val="0"/>
          <w:sz w:val="22"/>
        </w:rPr>
        <w:t>No se ejecutó ningún script contra Oracle ni se eliminó información de base de datos. La corrección fue de documentación y scripts para prevenir usos inseguros.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3600"/>
        <w:gridCol w:w="2760"/>
      </w:tblGrid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C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Archivo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C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Uso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C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1"/>
              </w:rPr>
              <w:t>Regla</w:t>
            </w:r>
          </w:p>
        </w:tc>
      </w:tr>
      <w:tr>
        <w:tc>
          <w:tcPr>
            <w:tcW w:type="dxa" w:w="3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database/00_EJECUCION_PRIMERA_VEZ.sql</w:t>
            </w:r>
          </w:p>
        </w:tc>
        <w:tc>
          <w:tcPr>
            <w:tcW w:type="dxa" w:w="36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Instalación en ambiente nuevo o base vacía.</w:t>
            </w:r>
          </w:p>
        </w:tc>
        <w:tc>
          <w:tcPr>
            <w:tcW w:type="dxa" w:w="2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Solo con aprobación DBA; no usar sobre producción con datos.</w:t>
            </w:r>
          </w:p>
        </w:tc>
      </w:tr>
      <w:tr>
        <w:tc>
          <w:tcPr>
            <w:tcW w:type="dxa" w:w="3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database/00_EJECUCION_ACTUALIZACIONES_SEGURAS.sql</w:t>
            </w:r>
          </w:p>
        </w:tc>
        <w:tc>
          <w:tcPr>
            <w:tcW w:type="dxa" w:w="36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Actualizaciones sobre ambientes existentes.</w:t>
            </w:r>
          </w:p>
        </w:tc>
        <w:tc>
          <w:tcPr>
            <w:tcW w:type="dxa" w:w="2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Usar como ruta estándar para preservar información.</w:t>
            </w:r>
          </w:p>
        </w:tc>
      </w:tr>
      <w:tr>
        <w:tc>
          <w:tcPr>
            <w:tcW w:type="dxa" w:w="3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database/README_EJECUCION_SEGURA.md</w:t>
            </w:r>
          </w:p>
        </w:tc>
        <w:tc>
          <w:tcPr>
            <w:tcW w:type="dxa" w:w="36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Guía operativa de ejecución SQL.</w:t>
            </w:r>
          </w:p>
        </w:tc>
        <w:tc>
          <w:tcPr>
            <w:tcW w:type="dxa" w:w="2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Debe acompañar cualquier pase de scripts.</w:t>
            </w:r>
          </w:p>
        </w:tc>
      </w:tr>
      <w:tr>
        <w:tc>
          <w:tcPr>
            <w:tcW w:type="dxa" w:w="3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database/01_create_tables.sql</w:t>
            </w:r>
          </w:p>
        </w:tc>
        <w:tc>
          <w:tcPr>
            <w:tcW w:type="dxa" w:w="36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Construcción base histórica.</w:t>
            </w:r>
          </w:p>
        </w:tc>
        <w:tc>
          <w:tcPr>
            <w:tcW w:type="dxa" w:w="2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Mantener como baseline; no ejecutar para actualizar datos existentes.</w:t>
            </w:r>
          </w:p>
        </w:tc>
      </w:tr>
      <w:tr>
        <w:tc>
          <w:tcPr>
            <w:tcW w:type="dxa" w:w="30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03, 06, 09, 13, 15, 16</w:t>
            </w:r>
          </w:p>
        </w:tc>
        <w:tc>
          <w:tcPr>
            <w:tcW w:type="dxa" w:w="360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Mejoras estructurales y funcionales.</w:t>
            </w:r>
          </w:p>
        </w:tc>
        <w:tc>
          <w:tcPr>
            <w:tcW w:type="dxa" w:w="2760"/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Quedan orientados a ejecución idempotente o controlada.</w:t>
            </w:r>
          </w:p>
        </w:tc>
      </w:tr>
    </w:tbl>
    <w:p>
      <w:pPr>
        <w:spacing w:before="0" w:after="80" w:line="264" w:lineRule="auto"/>
      </w:pP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11. Reservas no bloqueantes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La validación productiva depende de permisos institucionales, conectividad Oracle, AD y datos reales.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No se detectaron proyectos de pruebas unitarias automatizadas; se recomienda incorporarlos en Fase 2 para servicios críticos.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El baseline 01_create_tables.sql debe tratarse como instalación inicial, no como mecanismo de actualización.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sz w:val="22"/>
        </w:rPr>
        <w:t>Los procesos dotnet activos pueden bloquear binarios de build normal si la API está corriendo; el rebuild actual ya pasó sin bloqueo.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1F4E79"/>
          <w:sz w:val="32"/>
        </w:rPr>
        <w:t>12. Conclusión final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4EA"/>
          </w:tcPr>
          <w:p>
            <w:pPr>
              <w:spacing w:after="12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Conclusión: </w:t>
            </w:r>
            <w:r>
              <w:rPr>
                <w:rFonts w:ascii="Calibri" w:hAnsi="Calibri"/>
                <w:b w:val="0"/>
                <w:i w:val="0"/>
                <w:sz w:val="22"/>
              </w:rPr>
              <w:t>Fase 1 queda cerrada de forma controlada, unificada y técnicamente saneada. El Módulo Monitoreo de Listas cuenta con cobertura funcional, trazabilidad, evidencia, auditoría, documentación consolidada y builds limpios. El siguiente movimiento correcto es abrir Fase 2 - Matrices de Riesgos sin mezclar su alcance con Monitoreo de Listas.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06C80"/>
        <w:sz w:val="18"/>
      </w:rPr>
      <w:t>RIESGO_LAVADO - Documento de cierre controlado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06C80"/>
        <w:sz w:val="18"/>
      </w:rPr>
      <w:t>Cierre maestro final - Fase 1 / Monitoreo de Listas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