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b/>
          <w:color w:val="0B2545"/>
          <w:sz w:val="40"/>
        </w:rPr>
        <w:t>Evidencias y Seguimientos - Versión Full</w:t>
      </w:r>
    </w:p>
    <w:p>
      <w:pPr>
        <w:spacing w:after="240"/>
      </w:pPr>
      <w:r>
        <w:rPr>
          <w:color w:val="5A5A5A"/>
          <w:sz w:val="22"/>
        </w:rPr>
        <w:t>Documento completo de flujo funcional, seguridad documental, auditoría y almacenamiento.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vAlign w:val="center"/>
            <w:shd w:fill="E8EEF5"/>
          </w:tcPr>
          <w:p>
            <w:r/>
            <w:r>
              <w:rPr>
                <w:b/>
                <w:sz w:val="18"/>
              </w:rPr>
              <w:t>Campo</w:t>
            </w:r>
          </w:p>
        </w:tc>
        <w:tc>
          <w:tcPr>
            <w:tcW w:type="dxa" w:w="6768"/>
            <w:vAlign w:val="center"/>
            <w:shd w:fill="E8EEF5"/>
          </w:tcPr>
          <w:p>
            <w:r/>
            <w:r>
              <w:rPr>
                <w:b/>
                <w:sz w:val="18"/>
              </w:rPr>
              <w:t>Valor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Módulo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Evidencias y Seguimientos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Tipo de documento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Transversal funcional/técnico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Versión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1.0-full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Fecha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30/06/2026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Estado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Versión full generada en Word; lista para aprobación del usuario.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Aprobación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Pendiente de revisión/firma del usuario responsable.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Fuente</w:t>
            </w:r>
          </w:p>
        </w:tc>
        <w:tc>
          <w:tcPr>
            <w:tcW w:type="dxa" w:w="6768"/>
            <w:vAlign w:val="center"/>
          </w:tcPr>
          <w:p>
            <w:r/>
            <w:r>
              <w:rPr>
                <w:b w:val="0"/>
                <w:sz w:val="18"/>
              </w:rPr>
              <w:t>Repositorio local C:/RIESGO_LAVADO</w:t>
            </w:r>
          </w:p>
        </w:tc>
      </w:tr>
    </w:tbl>
    <w:p/>
    <w:p>
      <w:pPr>
        <w:pStyle w:val="Heading1"/>
      </w:pPr>
      <w:r>
        <w:t>Flujo funcional</w:t>
      </w:r>
    </w:p>
    <w:p>
      <w:pPr>
        <w:pStyle w:val="ListNumber"/>
      </w:pPr>
      <w:r>
        <w:t>Registrar motivo positivo.</w:t>
      </w:r>
    </w:p>
    <w:p>
      <w:pPr>
        <w:pStyle w:val="ListNumber"/>
      </w:pPr>
      <w:r>
        <w:t>Crear seguimiento con comentario obligatorio.</w:t>
      </w:r>
    </w:p>
    <w:p>
      <w:pPr>
        <w:pStyle w:val="ListNumber"/>
      </w:pPr>
      <w:r>
        <w:t>Adjuntar evidencias opcionales.</w:t>
      </w:r>
    </w:p>
    <w:p>
      <w:pPr>
        <w:pStyle w:val="ListNumber"/>
      </w:pPr>
      <w:r>
        <w:t>Validar extension, MIME, tamano y firma real.</w:t>
      </w:r>
    </w:p>
    <w:p>
      <w:pPr>
        <w:pStyle w:val="ListNumber"/>
      </w:pPr>
      <w:r>
        <w:t>Guardar nombre original y nombre físico GUID.</w:t>
      </w:r>
    </w:p>
    <w:p>
      <w:pPr>
        <w:pStyle w:val="ListNumber"/>
      </w:pPr>
      <w:r>
        <w:t>Descargar mediante endpoint protegido.</w:t>
      </w:r>
    </w:p>
    <w:p>
      <w:pPr>
        <w:pStyle w:val="ListNumber"/>
      </w:pPr>
      <w:r>
        <w:t>Eliminar lógicamente con motivo obligatorio y conservar archivo físico.</w:t>
      </w:r>
    </w:p>
    <w:p>
      <w:pPr>
        <w:pStyle w:val="Heading1"/>
      </w:pPr>
      <w:r>
        <w:t>Endpoints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152"/>
            <w:vAlign w:val="center"/>
            <w:shd w:fill="E8EEF5"/>
          </w:tcPr>
          <w:p>
            <w:r/>
            <w:r>
              <w:rPr>
                <w:b/>
                <w:sz w:val="18"/>
              </w:rPr>
              <w:t>Método</w:t>
            </w:r>
          </w:p>
        </w:tc>
        <w:tc>
          <w:tcPr>
            <w:tcW w:type="dxa" w:w="4320"/>
            <w:vAlign w:val="center"/>
            <w:shd w:fill="E8EEF5"/>
          </w:tcPr>
          <w:p>
            <w:r/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3888"/>
            <w:vAlign w:val="center"/>
            <w:shd w:fill="E8EEF5"/>
          </w:tcPr>
          <w:p>
            <w:r/>
            <w:r>
              <w:rPr>
                <w:b/>
                <w:sz w:val="18"/>
              </w:rPr>
              <w:t>Uso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/api/listas/evidencias/política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Política de 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POST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/api/listas/positivos/{doc}/seguimientos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Crear seguimiento/evidencias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PUT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/api/listas/seguimientos/{id}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Editar seguimiento/evidencias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GET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Descargar o visualizar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/api/listas/evidencias/{id}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Eliminar lógicamente evidencia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DELETE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/api/listas/seguimientos/{id}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b w:val="0"/>
                <w:sz w:val="18"/>
              </w:rPr>
              <w:t>Eliminar lógicamente seguimiento</w:t>
            </w:r>
          </w:p>
        </w:tc>
      </w:tr>
    </w:tbl>
    <w:p/>
    <w:p>
      <w:pPr>
        <w:pStyle w:val="Heading1"/>
      </w:pPr>
      <w:r>
        <w:t>Tablas involucradas</w:t>
      </w:r>
    </w:p>
    <w:p>
      <w:pPr>
        <w:pStyle w:val="ListBullet"/>
      </w:pPr>
      <w:r>
        <w:t>RL_LISTA_POSITIVOS</w:t>
      </w:r>
    </w:p>
    <w:p>
      <w:pPr>
        <w:pStyle w:val="ListBullet"/>
      </w:pPr>
      <w:r>
        <w:t>RL_DETALLE_LISTA</w:t>
      </w:r>
    </w:p>
    <w:p>
      <w:pPr>
        <w:pStyle w:val="ListBullet"/>
      </w:pPr>
      <w:r>
        <w:t>RL_DETALLE_EVIDENCIA</w:t>
      </w:r>
    </w:p>
    <w:p>
      <w:pPr>
        <w:pStyle w:val="ListBullet"/>
      </w:pPr>
      <w:r>
        <w:t>RL_AUDITORIA</w:t>
      </w:r>
    </w:p>
    <w:p>
      <w:pPr>
        <w:pStyle w:val="Heading1"/>
      </w:pPr>
      <w:r>
        <w:t>Reglas de seguridad documental</w:t>
      </w:r>
    </w:p>
    <w:p>
      <w:pPr>
        <w:pStyle w:val="ListBullet"/>
      </w:pPr>
      <w:r>
        <w:t>Extensiones permitidas configurables.</w:t>
      </w:r>
    </w:p>
    <w:p>
      <w:pPr>
        <w:pStyle w:val="ListBullet"/>
      </w:pPr>
      <w:r>
        <w:t>Tamano maximo configurable.</w:t>
      </w:r>
    </w:p>
    <w:p>
      <w:pPr>
        <w:pStyle w:val="ListBullet"/>
      </w:pPr>
      <w:r>
        <w:t>MIME y firma real verificables.</w:t>
      </w:r>
    </w:p>
    <w:p>
      <w:pPr>
        <w:pStyle w:val="ListBullet"/>
      </w:pPr>
      <w:r>
        <w:t>Ruta de almacenamiento final configurable.</w:t>
      </w:r>
    </w:p>
    <w:p>
      <w:pPr>
        <w:pStyle w:val="ListBullet"/>
      </w:pPr>
      <w:r>
        <w:t>Sin rutas publicas directas.</w:t>
      </w:r>
    </w:p>
    <w:p>
      <w:pPr>
        <w:pStyle w:val="ListBullet"/>
      </w:pPr>
      <w:r>
        <w:t>Eliminación lógica conserva archivo físico.</w:t>
      </w:r>
    </w:p>
    <w:p>
      <w:pPr>
        <w:pStyle w:val="Heading1"/>
      </w:pPr>
      <w:r>
        <w:t>Auditorias que genera</w:t>
      </w:r>
    </w:p>
    <w:p>
      <w:pPr>
        <w:pStyle w:val="ListBullet"/>
      </w:pPr>
      <w:r>
        <w:t>INSERT en RL_DETALLE_LISTA al crear seguimiento.</w:t>
      </w:r>
    </w:p>
    <w:p>
      <w:pPr>
        <w:pStyle w:val="ListBullet"/>
      </w:pPr>
      <w:r>
        <w:t>INSERT en RL_DETALLE_EVIDENCIA al adjuntar evidencia.</w:t>
      </w:r>
    </w:p>
    <w:p>
      <w:pPr>
        <w:pStyle w:val="ListBullet"/>
      </w:pPr>
      <w:r>
        <w:t>VER en RL_DETALLE_EVIDENCIA al visualizar o descargar evidencia.</w:t>
      </w:r>
    </w:p>
    <w:p>
      <w:pPr>
        <w:pStyle w:val="ListBullet"/>
      </w:pPr>
      <w:r>
        <w:t>DELETE lógico en RL_DETALLE_EVIDENCIA al eliminar evidencia con motivo.</w:t>
      </w:r>
    </w:p>
    <w:p>
      <w:pPr>
        <w:pStyle w:val="ListBullet"/>
      </w:pPr>
      <w:r>
        <w:t>DELETE lógico en RL_DETALLE_LISTA al eliminar seguimiento con motivo.</w:t>
      </w:r>
    </w:p>
    <w:p>
      <w:pPr>
        <w:pStyle w:val="Heading1"/>
      </w:pPr>
      <w:r>
        <w:t>Captura actualizada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330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monitoreo_list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30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5A5A"/>
          <w:sz w:val="18"/>
        </w:rPr>
        <w:t>Pantalla base desde donde se gestionan seguimientos y evidencias.</w:t>
      </w:r>
    </w:p>
    <w:p>
      <w:pPr>
        <w:pStyle w:val="Heading1"/>
      </w:pPr>
      <w:r>
        <w:t>Pendientes conocidos</w:t>
      </w:r>
    </w:p>
    <w:p>
      <w:pPr>
        <w:pStyle w:val="ListBullet"/>
      </w:pPr>
      <w:r>
        <w:t>Validar ubicación final de almacenamiento en ambiente productivo.</w:t>
      </w:r>
    </w:p>
    <w:p>
      <w:pPr>
        <w:pStyle w:val="ListBullet"/>
      </w:pPr>
      <w:r>
        <w:t>Revisar política de firma real si se agregan nuevos tipos de archivo.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Evidencias y Seguimientos - Versión Full | Versión 1.0 | 30/06/2026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SGRLA-IHSS | Documentación modular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