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A8A"/>
          <w:sz w:val="32"/>
        </w:rPr>
        <w:t>Fase 11 - Pruebas integrales y control de calidad</w:t>
      </w:r>
    </w:p>
    <w:p>
      <w:pPr>
        <w:jc w:val="center"/>
      </w:pPr>
      <w:r>
        <w:rPr>
          <w:b/>
        </w:rPr>
        <w:t>Módulo 3. Matrices de Riesgos - SGRLA-IHSS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4"/>
        <w:gridCol w:w="3564"/>
        <w:gridCol w:w="3564"/>
        <w:gridCol w:w="3564"/>
      </w:tblGrid>
      <w:tr>
        <w:tc>
          <w:tcPr>
            <w:tcW w:type="dxa" w:w="3564"/>
            <w:vAlign w:val="top"/>
          </w:tcPr>
          <w:p>
            <w:pPr>
              <w:jc w:val="left"/>
            </w:pPr>
            <w:r/>
            <w:r>
              <w:rPr>
                <w:b/>
                <w:sz w:val="16"/>
              </w:rPr>
              <w:t>Versión</w:t>
            </w:r>
          </w:p>
        </w:tc>
        <w:tc>
          <w:tcPr>
            <w:tcW w:type="dxa" w:w="3564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3564"/>
            <w:vAlign w:val="top"/>
          </w:tcPr>
          <w:p>
            <w:pPr>
              <w:jc w:val="left"/>
            </w:pPr>
            <w:r/>
            <w:r>
              <w:rPr>
                <w:b/>
                <w:sz w:val="16"/>
              </w:rPr>
              <w:t>Fecha</w:t>
            </w:r>
          </w:p>
        </w:tc>
        <w:tc>
          <w:tcPr>
            <w:tcW w:type="dxa" w:w="3564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17/07/2026</w:t>
            </w:r>
          </w:p>
        </w:tc>
      </w:tr>
      <w:tr>
        <w:tc>
          <w:tcPr>
            <w:tcW w:type="dxa" w:w="3564"/>
            <w:vAlign w:val="top"/>
          </w:tcPr>
          <w:p>
            <w:pPr>
              <w:jc w:val="left"/>
            </w:pPr>
            <w:r/>
            <w:r>
              <w:rPr>
                <w:b/>
                <w:sz w:val="16"/>
              </w:rPr>
              <w:t>Estado</w:t>
            </w:r>
          </w:p>
        </w:tc>
        <w:tc>
          <w:tcPr>
            <w:tcW w:type="dxa" w:w="3564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Matriz inicial de pruebas ejecutada</w:t>
            </w:r>
          </w:p>
        </w:tc>
        <w:tc>
          <w:tcPr>
            <w:tcW w:type="dxa" w:w="3564"/>
            <w:vAlign w:val="top"/>
          </w:tcPr>
          <w:p>
            <w:pPr>
              <w:jc w:val="left"/>
            </w:pPr>
            <w:r/>
            <w:r>
              <w:rPr>
                <w:b/>
                <w:sz w:val="16"/>
              </w:rPr>
              <w:t>Responsable</w:t>
            </w:r>
          </w:p>
        </w:tc>
        <w:tc>
          <w:tcPr>
            <w:tcW w:type="dxa" w:w="3564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Javier Mejía</w:t>
            </w:r>
          </w:p>
        </w:tc>
      </w:tr>
      <w:tr>
        <w:tc>
          <w:tcPr>
            <w:tcW w:type="dxa" w:w="3564"/>
            <w:vAlign w:val="top"/>
          </w:tcPr>
          <w:p>
            <w:pPr>
              <w:jc w:val="left"/>
            </w:pPr>
            <w:r/>
            <w:r>
              <w:rPr>
                <w:b/>
                <w:sz w:val="16"/>
              </w:rPr>
              <w:t>Documento</w:t>
            </w:r>
          </w:p>
        </w:tc>
        <w:tc>
          <w:tcPr>
            <w:tcW w:type="dxa" w:w="3564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Control técnico de Fase 11</w:t>
            </w:r>
          </w:p>
        </w:tc>
        <w:tc>
          <w:tcPr>
            <w:tcW w:type="dxa" w:w="3564"/>
            <w:vAlign w:val="top"/>
          </w:tcPr>
          <w:p>
            <w:pPr>
              <w:jc w:val="left"/>
            </w:pPr>
            <w:r/>
            <w:r>
              <w:rPr>
                <w:b/>
                <w:sz w:val="16"/>
              </w:rPr>
              <w:t>Repositorio</w:t>
            </w:r>
          </w:p>
        </w:tc>
        <w:tc>
          <w:tcPr>
            <w:tcW w:type="dxa" w:w="3564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main / origin/main</w:t>
            </w:r>
          </w:p>
        </w:tc>
      </w:tr>
      <w:tr>
        <w:tc>
          <w:tcPr>
            <w:tcW w:type="dxa" w:w="3564"/>
            <w:vAlign w:val="top"/>
          </w:tcPr>
          <w:p>
            <w:pPr>
              <w:jc w:val="left"/>
            </w:pPr>
            <w:r/>
            <w:r>
              <w:rPr>
                <w:b/>
                <w:sz w:val="16"/>
              </w:rPr>
              <w:t>Base técnica</w:t>
            </w:r>
          </w:p>
        </w:tc>
        <w:tc>
          <w:tcPr>
            <w:tcW w:type="dxa" w:w="3564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Fases 1 a 10 aprobadas y cerradas</w:t>
            </w:r>
          </w:p>
        </w:tc>
        <w:tc>
          <w:tcPr>
            <w:tcW w:type="dxa" w:w="3564"/>
            <w:vAlign w:val="top"/>
          </w:tcPr>
          <w:p>
            <w:pPr>
              <w:jc w:val="left"/>
            </w:pPr>
            <w:r/>
            <w:r>
              <w:rPr>
                <w:b/>
                <w:sz w:val="16"/>
              </w:rPr>
              <w:t>Módulo</w:t>
            </w:r>
          </w:p>
        </w:tc>
        <w:tc>
          <w:tcPr>
            <w:tcW w:type="dxa" w:w="3564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Matrices de Riesgos</w:t>
            </w:r>
          </w:p>
        </w:tc>
      </w:tr>
      <w:tr>
        <w:tc>
          <w:tcPr>
            <w:tcW w:type="dxa" w:w="3564"/>
            <w:vAlign w:val="top"/>
          </w:tcPr>
          <w:p>
            <w:pPr>
              <w:jc w:val="left"/>
            </w:pPr>
            <w:r/>
            <w:r>
              <w:rPr>
                <w:b/>
                <w:sz w:val="16"/>
              </w:rPr>
              <w:t>Alcance</w:t>
            </w:r>
          </w:p>
        </w:tc>
        <w:tc>
          <w:tcPr>
            <w:tcW w:type="dxa" w:w="3564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Pruebas integrales iniciales F11-01 a F11-10</w:t>
            </w:r>
          </w:p>
        </w:tc>
        <w:tc>
          <w:tcPr>
            <w:tcW w:type="dxa" w:w="3564"/>
            <w:vAlign w:val="top"/>
          </w:tcPr>
          <w:p>
            <w:pPr>
              <w:jc w:val="left"/>
            </w:pPr>
            <w:r/>
            <w:r>
              <w:rPr>
                <w:b/>
                <w:sz w:val="16"/>
              </w:rPr>
              <w:t>Resultado</w:t>
            </w:r>
          </w:p>
        </w:tc>
        <w:tc>
          <w:tcPr>
            <w:tcW w:type="dxa" w:w="3564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Correcto con controles pendientes</w:t>
            </w:r>
          </w:p>
        </w:tc>
      </w:tr>
    </w:tbl>
    <w:p>
      <w:pPr>
        <w:pStyle w:val="Heading1"/>
      </w:pPr>
      <w:r>
        <w:t>1. Objetivo</w:t>
      </w:r>
    </w:p>
    <w:p>
      <w:r>
        <w:t>Documentar la matriz inicial de pruebas de la Fase 11, validando los escenarios funcionales, técnicos, de auditoría, seguridad, reportería, evidencias y experiencia de usuario del módulo Matrices de Riesgos.</w:t>
      </w:r>
    </w:p>
    <w:p>
      <w:pPr>
        <w:pStyle w:val="Heading1"/>
      </w:pPr>
      <w:r>
        <w:t>2. Evidencia técnica ejecutada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1"/>
        <w:gridCol w:w="2851"/>
        <w:gridCol w:w="2851"/>
        <w:gridCol w:w="2851"/>
        <w:gridCol w:w="2851"/>
      </w:tblGrid>
      <w:tr>
        <w:tc>
          <w:tcPr>
            <w:tcW w:type="dxa" w:w="2851"/>
            <w:vAlign w:val="top"/>
            <w:shd w:fill="1E3A8A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Bloque</w:t>
            </w:r>
          </w:p>
        </w:tc>
        <w:tc>
          <w:tcPr>
            <w:tcW w:type="dxa" w:w="2851"/>
            <w:vAlign w:val="top"/>
            <w:shd w:fill="1E3A8A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Pruebas</w:t>
            </w:r>
          </w:p>
        </w:tc>
        <w:tc>
          <w:tcPr>
            <w:tcW w:type="dxa" w:w="2851"/>
            <w:vAlign w:val="top"/>
            <w:shd w:fill="1E3A8A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Aprobadas</w:t>
            </w:r>
          </w:p>
        </w:tc>
        <w:tc>
          <w:tcPr>
            <w:tcW w:type="dxa" w:w="2851"/>
            <w:vAlign w:val="top"/>
            <w:shd w:fill="1E3A8A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Fallidas</w:t>
            </w:r>
          </w:p>
        </w:tc>
        <w:tc>
          <w:tcPr>
            <w:tcW w:type="dxa" w:w="2851"/>
            <w:vAlign w:val="top"/>
            <w:shd w:fill="1E3A8A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Cobertura / nota</w:t>
            </w:r>
          </w:p>
        </w:tc>
      </w:tr>
      <w:tr>
        <w:tc>
          <w:tcPr>
            <w:tcW w:type="dxa" w:w="2851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Backend</w:t>
            </w:r>
          </w:p>
        </w:tc>
        <w:tc>
          <w:tcPr>
            <w:tcW w:type="dxa" w:w="2851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2851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2851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851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Líneas 15.35%, ramas 16.36%</w:t>
            </w:r>
          </w:p>
        </w:tc>
      </w:tr>
      <w:tr>
        <w:tc>
          <w:tcPr>
            <w:tcW w:type="dxa" w:w="2851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Frontend</w:t>
            </w:r>
          </w:p>
        </w:tc>
        <w:tc>
          <w:tcPr>
            <w:tcW w:type="dxa" w:w="2851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2851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2851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851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Sentencias 31.59%, ramas 27.57%, funciones 30.38%, líneas 31.73%</w:t>
            </w:r>
          </w:p>
        </w:tc>
      </w:tr>
      <w:tr>
        <w:tc>
          <w:tcPr>
            <w:tcW w:type="dxa" w:w="2851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E2E</w:t>
            </w:r>
          </w:p>
        </w:tc>
        <w:tc>
          <w:tcPr>
            <w:tcW w:type="dxa" w:w="2851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851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851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851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Chromium; login, rutas protegidas y Matrices de Riesgos autorizada</w:t>
            </w:r>
          </w:p>
        </w:tc>
      </w:tr>
    </w:tbl>
    <w:p>
      <w:pPr>
        <w:pStyle w:val="Heading1"/>
      </w:pPr>
      <w:r>
        <w:t>3. Matriz inicial de pruebas F11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  <w:gridCol w:w="2376"/>
        <w:gridCol w:w="2376"/>
      </w:tblGrid>
      <w:tr>
        <w:tc>
          <w:tcPr>
            <w:tcW w:type="dxa" w:w="2376"/>
            <w:vAlign w:val="top"/>
            <w:shd w:fill="1E3A8A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376"/>
            <w:vAlign w:val="top"/>
            <w:shd w:fill="1E3A8A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Escenario</w:t>
            </w:r>
          </w:p>
        </w:tc>
        <w:tc>
          <w:tcPr>
            <w:tcW w:type="dxa" w:w="2376"/>
            <w:vAlign w:val="top"/>
            <w:shd w:fill="1E3A8A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Objetivo</w:t>
            </w:r>
          </w:p>
        </w:tc>
        <w:tc>
          <w:tcPr>
            <w:tcW w:type="dxa" w:w="2376"/>
            <w:vAlign w:val="top"/>
            <w:shd w:fill="1E3A8A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Evidencia</w:t>
            </w:r>
          </w:p>
        </w:tc>
        <w:tc>
          <w:tcPr>
            <w:tcW w:type="dxa" w:w="2376"/>
            <w:vAlign w:val="top"/>
            <w:shd w:fill="1E3A8A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Resultado</w:t>
            </w:r>
          </w:p>
        </w:tc>
        <w:tc>
          <w:tcPr>
            <w:tcW w:type="dxa" w:w="2376"/>
            <w:vAlign w:val="top"/>
            <w:shd w:fill="1E3A8A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Observación</w:t>
            </w:r>
          </w:p>
        </w:tc>
      </w:tr>
      <w:tr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/>
                <w:sz w:val="16"/>
              </w:rPr>
              <w:t>F11-01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Autenticación y acceso por módulo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Confirmar login, rutas protegidas y acceso autorizado al módulo Matrices de Riesgos.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E2E login-and-routing.spec.ts: formulario de acceso, campos obligatorios, contraseña visible/no visible, redirección sin sesión y apertura autorizada de Matrices de Riesgos.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/>
                <w:color w:val="008A4C"/>
                <w:sz w:val="16"/>
              </w:rPr>
              <w:t>Aprobado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Permisos conservados por módulo mediante sesión autenticada con módulo 10.</w:t>
            </w:r>
          </w:p>
        </w:tc>
      </w:tr>
      <w:tr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/>
                <w:sz w:val="16"/>
              </w:rPr>
              <w:t>F11-02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Creación y edición de matrices por tipo de sujeto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Validar captura, bloqueo de duplicados por identificador/documento, edición, actualización y recálculo automático.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Pruebas frontend y backend de creación válida, bloqueo de duplicados, reconstrucción de edición, actualización y recálculo.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/>
                <w:color w:val="008A4C"/>
                <w:sz w:val="16"/>
              </w:rPr>
              <w:t>Aprobado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La validación de duplicados se aplica en creación; la edición respeta el identificador de la matriz en curso.</w:t>
            </w:r>
          </w:p>
        </w:tc>
      </w:tr>
      <w:tr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/>
                <w:sz w:val="16"/>
              </w:rPr>
              <w:t>F11-03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Cálculo por factor e institucional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Confirmar cálculo por factor para proveedor, cliente/patrono y empleado, y cálculo institucional/global cuando aplique.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Pruebas backend MatricesRiesgoService y MatricesRiesgosApplication: motor F6, pesos 50/25/25, variables internas al 100%, mitigación y recálculo.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/>
                <w:color w:val="008A4C"/>
                <w:sz w:val="16"/>
              </w:rPr>
              <w:t>Aprobado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El frontend no calcula ponderaciones, escalas ni nivel de riesgo.</w:t>
            </w:r>
          </w:p>
        </w:tc>
      </w:tr>
      <w:tr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/>
                <w:sz w:val="16"/>
              </w:rPr>
              <w:t>F11-04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Escenarios de riesgo Muy bajo, Bajo, Medio, Alto y Crítico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Validar clasificación de riesgo por rangos aprobados y bandera de plan de acción para Alto/Crítico.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Pruebas backend de clasificación, escalas residuales y requerimiento de plan de acción.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/>
                <w:color w:val="008A4C"/>
                <w:sz w:val="16"/>
              </w:rPr>
              <w:t>Aprobado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 mantiene clasificación sobre valor interno y visualización funcional a dos decimales.</w:t>
            </w:r>
          </w:p>
        </w:tc>
      </w:tr>
      <w:tr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/>
                <w:sz w:val="16"/>
              </w:rPr>
              <w:t>F11-05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Planes de acción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Validar creación, edición, cambio de estado, inactivación y reactivación de planes con motivo.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Pruebas frontend del servicio y componente: crear plan, editar, cambiar estado, inactivar/reactivar y refrescar indicadores.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/>
                <w:color w:val="008A4C"/>
                <w:sz w:val="16"/>
              </w:rPr>
              <w:t>Aprobado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Acciones sensibles usan motivo obligatorio y confirmación.</w:t>
            </w:r>
          </w:p>
        </w:tc>
      </w:tr>
      <w:tr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/>
                <w:sz w:val="16"/>
              </w:rPr>
              <w:t>F11-06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Evidencias documentales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Validar carga, vista previa, descarga auditada e inactivación lógica de evidencias.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Pruebas frontend: carga FormData, límite de 10 MB para vista previa, vista previa de archivo local/almacenado, descarga desde vista previa e inactivación con motivo.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/>
                <w:color w:val="008A4C"/>
                <w:sz w:val="16"/>
              </w:rPr>
              <w:t>Aprobado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La vista previa no sustituye validaciones backend de archivo protegido.</w:t>
            </w:r>
          </w:p>
        </w:tc>
      </w:tr>
      <w:tr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/>
                <w:sz w:val="16"/>
              </w:rPr>
              <w:t>F11-07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Reportería y exportaciones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Confirmar reporte consolidado, filtros, PDF, Excel y auditoría de exportación.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Pruebas frontend del servicio de reportes y evidencia Fase 9: JSON, PDF, Excel y registros en auditoría.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/>
                <w:color w:val="008A4C"/>
                <w:sz w:val="16"/>
              </w:rPr>
              <w:t>Aprobado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Las exportaciones se generan desde backend con datos persistidos.</w:t>
            </w:r>
          </w:p>
        </w:tc>
      </w:tr>
      <w:tr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/>
                <w:sz w:val="16"/>
              </w:rPr>
              <w:t>F11-08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Auditoría e historial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Validar trazabilidad funcional y auditoría de operaciones críticas.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Pruebas backend y frontend relacionadas con historial, auditoría, cambios de estado, cálculo, recálculo, planes, evidencias y exportaciones.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/>
                <w:color w:val="008A4C"/>
                <w:sz w:val="16"/>
              </w:rPr>
              <w:t>Aprobado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Las acciones funcionales quedan en historial; la auditoría respeta acciones permitidas por la tabla central.</w:t>
            </w:r>
          </w:p>
        </w:tc>
      </w:tr>
      <w:tr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/>
                <w:sz w:val="16"/>
              </w:rPr>
              <w:t>F11-09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Rendimiento básico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Confirmar que la aplicación compila y ejecuta pruebas dentro de tiempos aceptables para validación local.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Quality gate ejecutado el 17/07/2026: backend 77 pruebas, frontend 124 pruebas y e2e 6 pruebas sin fallos.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/>
                <w:color w:val="B45309"/>
                <w:sz w:val="16"/>
              </w:rPr>
              <w:t>Aprobado con control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Pendiente recomendado para QA ampliado: medir tiempos reales con volumen mayor de datos y red institucional.</w:t>
            </w:r>
          </w:p>
        </w:tc>
      </w:tr>
      <w:tr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/>
                <w:sz w:val="16"/>
              </w:rPr>
              <w:t>F11-10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Experiencia visual y no desbordes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Validar navegación base, textos comprensibles, ausencia de fallos visuales críticos y patrón responsive.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E2E abre Matrices de Riesgos con sesión autorizada; pruebas de componentes cubren modales, listados, reportes, evidencias y acciones sensibles.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/>
                <w:color w:val="B45309"/>
                <w:sz w:val="16"/>
              </w:rPr>
              <w:t>Aprobado con control</w:t>
            </w:r>
          </w:p>
        </w:tc>
        <w:tc>
          <w:tcPr>
            <w:tcW w:type="dxa" w:w="2376"/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Pendiente recomendado para cierre total: recorrido visual manual con capturas en resoluciones desktop y portátil.</w:t>
            </w:r>
          </w:p>
        </w:tc>
      </w:tr>
    </w:tbl>
    <w:p>
      <w:pPr>
        <w:pStyle w:val="Heading1"/>
      </w:pPr>
      <w:r>
        <w:t>4. Controles confirmados</w:t>
      </w:r>
    </w:p>
    <w:p>
      <w:pPr>
        <w:pStyle w:val="ListBullet"/>
      </w:pPr>
      <w:r>
        <w:t>No se modificó DNP.</w:t>
      </w:r>
    </w:p>
    <w:p>
      <w:pPr>
        <w:pStyle w:val="ListBullet"/>
      </w:pPr>
      <w:r>
        <w:t>No se tocó CONTROL_ALMACEN.PROVEEDOR.</w:t>
      </w:r>
    </w:p>
    <w:p>
      <w:pPr>
        <w:pStyle w:val="ListBullet"/>
      </w:pPr>
      <w:r>
        <w:t>No se cambió la política de permisos por módulo.</w:t>
      </w:r>
    </w:p>
    <w:p>
      <w:pPr>
        <w:pStyle w:val="ListBullet"/>
      </w:pPr>
      <w:r>
        <w:t>No se conectó Monitoreo de Listas con Matrices de Riesgos.</w:t>
      </w:r>
    </w:p>
    <w:p>
      <w:pPr>
        <w:pStyle w:val="Heading1"/>
      </w:pPr>
      <w:r>
        <w:t>5. Pendientes controlados</w:t>
      </w:r>
    </w:p>
    <w:p>
      <w:pPr>
        <w:pStyle w:val="ListBullet"/>
      </w:pPr>
      <w:r>
        <w:t>Ejecutar recorrido visual manual con capturas en al menos dos resoluciones antes del cierre final de Fase 11.</w:t>
      </w:r>
    </w:p>
    <w:p>
      <w:pPr>
        <w:pStyle w:val="ListBullet"/>
      </w:pPr>
      <w:r>
        <w:t>Realizar prueba de rendimiento con mayor volumen de registros si el ambiente de pruebas institucional lo permite.</w:t>
      </w:r>
    </w:p>
    <w:p>
      <w:pPr>
        <w:pStyle w:val="ListBullet"/>
      </w:pPr>
      <w:r>
        <w:t>Confirmar con usuario final que los textos funcionales y flujos actuales son comprensibles para operación diaria.</w:t>
      </w:r>
    </w:p>
    <w:p>
      <w:pPr>
        <w:pStyle w:val="Heading1"/>
      </w:pPr>
      <w:r>
        <w:t>6. Conclusión</w:t>
      </w:r>
    </w:p>
    <w:p>
      <w:r>
        <w:t>La matriz inicial de pruebas de Fase 11 queda ejecutada con resultado correcto. Las pruebas automatizadas de backend, frontend y e2e se completaron sin fallos. La fase no se marca como cerrada todavía, porque el cierre formal debe incluir recorrido visual final, evidencia navegada y aprobación funcional de Javier Mejía.</w:t>
      </w:r>
    </w:p>
    <w:sectPr w:rsidR="00FC693F" w:rsidRPr="0006063C" w:rsidSect="00034616">
      <w:pgSz w:w="15840" w:h="12240" w:orient="landscape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