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0B2545"/>
          <w:sz w:val="36"/>
        </w:rPr>
        <w:t>Fase 11 - Pruebas integrales y control de calidad</w:t>
      </w:r>
    </w:p>
    <w:p>
      <w:r>
        <w:rPr>
          <w:color w:val="5A6473"/>
          <w:sz w:val="24"/>
        </w:rPr>
        <w:t>Módulo 3. Matrices de Riesgos - SGRLA-IHSS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Versión</w:t>
            </w:r>
          </w:p>
        </w:tc>
        <w:tc>
          <w:tcPr>
            <w:tcW w:type="dxa" w:w="345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>
              <w:t>1.3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20/07/2026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345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>
              <w:t>Fase 11 aprobada y cerrada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Responsable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Javier Mejía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Documento</w:t>
            </w:r>
          </w:p>
        </w:tc>
        <w:tc>
          <w:tcPr>
            <w:tcW w:type="dxa" w:w="345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Control técnico de Fase 11</w:t>
            </w:r>
          </w:p>
        </w:tc>
        <w:tc>
          <w:tcPr>
            <w:tcW w:type="dxa" w:w="172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Repositorio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main / origin/main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Base técnica</w:t>
            </w:r>
          </w:p>
        </w:tc>
        <w:tc>
          <w:tcPr>
            <w:tcW w:type="dxa" w:w="345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Fases 1 a 10 aprobadas y cerradas</w:t>
            </w:r>
          </w:p>
        </w:tc>
        <w:tc>
          <w:tcPr>
            <w:tcW w:type="dxa" w:w="172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Matrices de Riesgos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Alcance</w:t>
            </w:r>
          </w:p>
        </w:tc>
        <w:tc>
          <w:tcPr>
            <w:tcW w:type="dxa" w:w="345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Pruebas integrales, calidad visual, backend, frontend y E2E</w:t>
            </w:r>
          </w:p>
        </w:tc>
        <w:tc>
          <w:tcPr>
            <w:tcW w:type="dxa" w:w="172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Resultado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>
              <w:t>Correcto; cierre formal aprobado</w:t>
            </w:r>
            <w:r>
              <w:rPr>
                <w:b w:val="0"/>
                <w:sz w:val="18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7EF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>
              <w:t>Conclusión ejecutiva: la Fase 11 queda aprobada y cerrada formalmente por Javier Mejía. No se reabren fases anteriores; este documento consolida la evidencia final de control de calidad.</w:t>
            </w:r>
            <w:r>
              <w:rPr>
                <w:b/>
                <w:color w:val="0B2545"/>
                <w:sz w:val="18"/>
              </w:rPr>
            </w:r>
          </w:p>
        </w:tc>
      </w:tr>
    </w:tbl>
    <w:p/>
    <w:p>
      <w:pPr>
        <w:pStyle w:val="Heading1"/>
      </w:pPr>
      <w:r>
        <w:rPr>
          <w:sz w:val="22"/>
        </w:rPr>
        <w:t>1. Objetivo</w:t>
      </w:r>
    </w:p>
    <w:p>
      <w:r>
        <w:rPr>
          <w:sz w:val="22"/>
        </w:rPr>
        <w:t>Consolidar la validación integral del módulo Matrices de Riesgos antes de su cierre formal, verificando pruebas automatizadas, controles funcionales, limpieza visual, separación de módulos, auditoría, flujos críticos y evidencia técnica.</w:t>
      </w:r>
    </w:p>
    <w:p>
      <w:pPr>
        <w:pStyle w:val="Heading1"/>
      </w:pPr>
      <w:r>
        <w:rPr>
          <w:sz w:val="22"/>
        </w:rPr>
        <w:t>2. Evidencia técnica ejecutada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18"/>
              </w:rPr>
              <w:t>Bloque</w:t>
            </w:r>
          </w:p>
        </w:tc>
        <w:tc>
          <w:tcPr>
            <w:tcW w:type="dxa" w:w="5184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18"/>
              </w:rPr>
              <w:t>Comando validado</w:t>
            </w:r>
          </w:p>
        </w:tc>
        <w:tc>
          <w:tcPr>
            <w:tcW w:type="dxa" w:w="100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18"/>
              </w:rPr>
              <w:t>Pruebas</w:t>
            </w:r>
          </w:p>
        </w:tc>
        <w:tc>
          <w:tcPr>
            <w:tcW w:type="dxa" w:w="100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18"/>
              </w:rPr>
              <w:t>Fallidas</w:t>
            </w:r>
          </w:p>
        </w:tc>
        <w:tc>
          <w:tcPr>
            <w:tcW w:type="dxa" w:w="144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18"/>
              </w:rPr>
              <w:t>Resultado</w:t>
            </w:r>
          </w:p>
        </w:tc>
      </w:tr>
      <w:tr>
        <w:tc>
          <w:tcPr>
            <w:tcW w:type="dxa" w:w="144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Backend</w:t>
            </w:r>
          </w:p>
        </w:tc>
        <w:tc>
          <w:tcPr>
            <w:tcW w:type="dxa" w:w="5184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dotnet test backend/RL.API.Tests/RL.API.Tests.csproj --configuration Release</w:t>
            </w:r>
          </w:p>
        </w:tc>
        <w:tc>
          <w:tcPr>
            <w:tcW w:type="dxa" w:w="100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81</w:t>
            </w:r>
          </w:p>
        </w:tc>
        <w:tc>
          <w:tcPr>
            <w:tcW w:type="dxa" w:w="100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  <w:tr>
        <w:tc>
          <w:tcPr>
            <w:tcW w:type="dxa" w:w="144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5184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npm run test:coverage</w:t>
            </w:r>
          </w:p>
        </w:tc>
        <w:tc>
          <w:tcPr>
            <w:tcW w:type="dxa" w:w="100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129</w:t>
            </w:r>
          </w:p>
        </w:tc>
        <w:tc>
          <w:tcPr>
            <w:tcW w:type="dxa" w:w="100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  <w:tr>
        <w:tc>
          <w:tcPr>
            <w:tcW w:type="dxa" w:w="144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Build Angular</w:t>
            </w:r>
          </w:p>
        </w:tc>
        <w:tc>
          <w:tcPr>
            <w:tcW w:type="dxa" w:w="5184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npm run build</w:t>
            </w:r>
          </w:p>
        </w:tc>
        <w:tc>
          <w:tcPr>
            <w:tcW w:type="dxa" w:w="100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-</w:t>
            </w:r>
          </w:p>
        </w:tc>
        <w:tc>
          <w:tcPr>
            <w:tcW w:type="dxa" w:w="100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  <w:tr>
        <w:tc>
          <w:tcPr>
            <w:tcW w:type="dxa" w:w="144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E2E</w:t>
            </w:r>
          </w:p>
        </w:tc>
        <w:tc>
          <w:tcPr>
            <w:tcW w:type="dxa" w:w="5184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npm run e2e</w:t>
            </w:r>
          </w:p>
        </w:tc>
        <w:tc>
          <w:tcPr>
            <w:tcW w:type="dxa" w:w="100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00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</w:tbl>
    <w:p/>
    <w:p>
      <w:r>
        <w:rPr>
          <w:sz w:val="22"/>
        </w:rPr>
        <w:t>Cobertura frontend registrada: sentencias 32.07%, ramas 28.23%, funciones 30.73% y líneas 32.27%.</w:t>
      </w:r>
    </w:p>
    <w:p>
      <w:pPr>
        <w:pStyle w:val="Heading1"/>
      </w:pPr>
      <w:r>
        <w:rPr>
          <w:sz w:val="22"/>
        </w:rPr>
        <w:t>3. Matriz final de pruebas F11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3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type="dxa" w:w="252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18"/>
              </w:rPr>
              <w:t>Escenario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18"/>
              </w:rPr>
              <w:t>Validación realizada</w:t>
            </w:r>
          </w:p>
        </w:tc>
        <w:tc>
          <w:tcPr>
            <w:tcW w:type="dxa" w:w="1152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18"/>
              </w:rPr>
              <w:t>Resultado</w:t>
            </w:r>
          </w:p>
        </w:tc>
      </w:tr>
      <w:tr>
        <w:tc>
          <w:tcPr>
            <w:tcW w:type="dxa" w:w="93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F11-01</w:t>
            </w:r>
          </w:p>
        </w:tc>
        <w:tc>
          <w:tcPr>
            <w:tcW w:type="dxa" w:w="252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Autenticación y acceso por módulo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Login, rutas protegidas y acceso a Matrices con módulo autorizado.</w:t>
            </w:r>
          </w:p>
        </w:tc>
        <w:tc>
          <w:tcPr>
            <w:tcW w:type="dxa" w:w="1152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  <w:tr>
        <w:tc>
          <w:tcPr>
            <w:tcW w:type="dxa" w:w="93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F11-02</w:t>
            </w:r>
          </w:p>
        </w:tc>
        <w:tc>
          <w:tcPr>
            <w:tcW w:type="dxa" w:w="252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Captura por tipo de sujeto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Variables filtradas por proveedor, cliente/patrono, empleado o institucional.</w:t>
            </w:r>
          </w:p>
        </w:tc>
        <w:tc>
          <w:tcPr>
            <w:tcW w:type="dxa" w:w="1152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  <w:tr>
        <w:tc>
          <w:tcPr>
            <w:tcW w:type="dxa" w:w="93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F11-03</w:t>
            </w:r>
          </w:p>
        </w:tc>
        <w:tc>
          <w:tcPr>
            <w:tcW w:type="dxa" w:w="252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Bloqueo de duplicados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Validación por identificador externo y documento al crear; edición excluye la misma matriz.</w:t>
            </w:r>
          </w:p>
        </w:tc>
        <w:tc>
          <w:tcPr>
            <w:tcW w:type="dxa" w:w="1152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  <w:tr>
        <w:tc>
          <w:tcPr>
            <w:tcW w:type="dxa" w:w="93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F11-04</w:t>
            </w:r>
          </w:p>
        </w:tc>
        <w:tc>
          <w:tcPr>
            <w:tcW w:type="dxa" w:w="252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Cálculo automático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 guardar o editar, el sistema recalcula desde backend y deja resultados persistidos.</w:t>
            </w:r>
          </w:p>
        </w:tc>
        <w:tc>
          <w:tcPr>
            <w:tcW w:type="dxa" w:w="1152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  <w:tr>
        <w:tc>
          <w:tcPr>
            <w:tcW w:type="dxa" w:w="93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F11-05</w:t>
            </w:r>
          </w:p>
        </w:tc>
        <w:tc>
          <w:tcPr>
            <w:tcW w:type="dxa" w:w="252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Estados operativos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Estados visibles normalizados: En Revisión, Aprobada, Cerrada, Activa/Inactiva.</w:t>
            </w:r>
          </w:p>
        </w:tc>
        <w:tc>
          <w:tcPr>
            <w:tcW w:type="dxa" w:w="1152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  <w:tr>
        <w:tc>
          <w:tcPr>
            <w:tcW w:type="dxa" w:w="93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F11-06</w:t>
            </w:r>
          </w:p>
        </w:tc>
        <w:tc>
          <w:tcPr>
            <w:tcW w:type="dxa" w:w="252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Planes de acción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Fechas válidas, motivo obligatorio, activación/desactivación y límites de texto.</w:t>
            </w:r>
          </w:p>
        </w:tc>
        <w:tc>
          <w:tcPr>
            <w:tcW w:type="dxa" w:w="1152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  <w:tr>
        <w:tc>
          <w:tcPr>
            <w:tcW w:type="dxa" w:w="93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F11-07</w:t>
            </w:r>
          </w:p>
        </w:tc>
        <w:tc>
          <w:tcPr>
            <w:tcW w:type="dxa" w:w="252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Evidencias documentales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Carga protegida, vista previa, descarga desde vista previa y eliminación lógica.</w:t>
            </w:r>
          </w:p>
        </w:tc>
        <w:tc>
          <w:tcPr>
            <w:tcW w:type="dxa" w:w="1152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  <w:tr>
        <w:tc>
          <w:tcPr>
            <w:tcW w:type="dxa" w:w="93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F11-08</w:t>
            </w:r>
          </w:p>
        </w:tc>
        <w:tc>
          <w:tcPr>
            <w:tcW w:type="dxa" w:w="252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Criterios administrables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Catálogo activo/inactivo, visualización de inactivos y control de duplicidad.</w:t>
            </w:r>
          </w:p>
        </w:tc>
        <w:tc>
          <w:tcPr>
            <w:tcW w:type="dxa" w:w="1152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  <w:tr>
        <w:tc>
          <w:tcPr>
            <w:tcW w:type="dxa" w:w="93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F11-09</w:t>
            </w:r>
          </w:p>
        </w:tc>
        <w:tc>
          <w:tcPr>
            <w:tcW w:type="dxa" w:w="252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Reportes y exportaciones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Filtros automáticos, PDF/Excel desde backend y auditoría de exportación.</w:t>
            </w:r>
          </w:p>
        </w:tc>
        <w:tc>
          <w:tcPr>
            <w:tcW w:type="dxa" w:w="1152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  <w:tr>
        <w:tc>
          <w:tcPr>
            <w:tcW w:type="dxa" w:w="93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F11-10</w:t>
            </w:r>
          </w:p>
        </w:tc>
        <w:tc>
          <w:tcPr>
            <w:tcW w:type="dxa" w:w="252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Calidad visual y textos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Corrección de desbordes, textos funcionales y nomenclatura Activar/Desactivar.</w:t>
            </w:r>
          </w:p>
        </w:tc>
        <w:tc>
          <w:tcPr>
            <w:tcW w:type="dxa" w:w="1152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  <w:tr>
        <w:tc>
          <w:tcPr>
            <w:tcW w:type="dxa" w:w="93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F11-11</w:t>
            </w:r>
          </w:p>
        </w:tc>
        <w:tc>
          <w:tcPr>
            <w:tcW w:type="dxa" w:w="252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Separación de módulos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Monitoreo de Listas y Matrices de Riesgos permanecen independientes.</w:t>
            </w:r>
          </w:p>
        </w:tc>
        <w:tc>
          <w:tcPr>
            <w:tcW w:type="dxa" w:w="1152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  <w:tr>
        <w:tc>
          <w:tcPr>
            <w:tcW w:type="dxa" w:w="93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F11-12</w:t>
            </w:r>
          </w:p>
        </w:tc>
        <w:tc>
          <w:tcPr>
            <w:tcW w:type="dxa" w:w="252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Restricciones institucionales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Sin DNP, sin CONTROL_ALMACEN.PROVEEDOR y sin permisos por acción.</w:t>
            </w:r>
          </w:p>
        </w:tc>
        <w:tc>
          <w:tcPr>
            <w:tcW w:type="dxa" w:w="1152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Aprobado</w:t>
            </w:r>
          </w:p>
        </w:tc>
      </w:tr>
    </w:tbl>
    <w:p/>
    <w:p>
      <w:pPr>
        <w:pStyle w:val="Heading1"/>
      </w:pPr>
      <w:r>
        <w:rPr>
          <w:sz w:val="22"/>
        </w:rPr>
        <w:t>4. Controles confirmados</w:t>
      </w:r>
    </w:p>
    <w:p>
      <w:pPr>
        <w:ind w:left="360" w:hanging="216"/>
      </w:pPr>
      <w:r>
        <w:rPr>
          <w:b/>
          <w:sz w:val="22"/>
        </w:rPr>
        <w:t xml:space="preserve">• </w:t>
      </w:r>
      <w:r>
        <w:rPr>
          <w:sz w:val="22"/>
        </w:rPr>
        <w:t>No se modificó DNP.</w:t>
      </w:r>
    </w:p>
    <w:p>
      <w:pPr>
        <w:ind w:left="360" w:hanging="216"/>
      </w:pPr>
      <w:r>
        <w:rPr>
          <w:b/>
          <w:sz w:val="22"/>
        </w:rPr>
        <w:t xml:space="preserve">• </w:t>
      </w:r>
      <w:r>
        <w:rPr>
          <w:sz w:val="22"/>
        </w:rPr>
        <w:t>No se tocó CONTROL_ALMACEN.PROVEEDOR.</w:t>
      </w:r>
    </w:p>
    <w:p>
      <w:pPr>
        <w:ind w:left="360" w:hanging="216"/>
      </w:pPr>
      <w:r>
        <w:rPr>
          <w:b/>
          <w:sz w:val="22"/>
        </w:rPr>
        <w:t xml:space="preserve">• </w:t>
      </w:r>
      <w:r>
        <w:rPr>
          <w:sz w:val="22"/>
        </w:rPr>
        <w:t>No se cambió la política de permisos por módulo.</w:t>
      </w:r>
    </w:p>
    <w:p>
      <w:pPr>
        <w:ind w:left="360" w:hanging="216"/>
      </w:pPr>
      <w:r>
        <w:rPr>
          <w:b/>
          <w:sz w:val="22"/>
        </w:rPr>
        <w:t xml:space="preserve">• </w:t>
      </w:r>
      <w:r>
        <w:rPr>
          <w:sz w:val="22"/>
        </w:rPr>
        <w:t>No se conectó Monitoreo de Listas con Matrices de Riesgos.</w:t>
      </w:r>
    </w:p>
    <w:p>
      <w:pPr>
        <w:ind w:left="360" w:hanging="216"/>
      </w:pPr>
      <w:r>
        <w:rPr>
          <w:b/>
          <w:sz w:val="22"/>
        </w:rPr>
        <w:t xml:space="preserve">• </w:t>
      </w:r>
      <w:r>
        <w:rPr>
          <w:sz w:val="22"/>
        </w:rPr>
        <w:t>El frontend no calcula ponderaciones, escalas ni niveles de riesgo.</w:t>
      </w:r>
    </w:p>
    <w:p>
      <w:pPr>
        <w:ind w:left="360" w:hanging="216"/>
      </w:pPr>
      <w:r>
        <w:rPr>
          <w:b/>
          <w:sz w:val="22"/>
        </w:rPr>
        <w:t xml:space="preserve">• </w:t>
      </w:r>
      <w:r>
        <w:rPr>
          <w:sz w:val="22"/>
        </w:rPr>
        <w:t>Las operaciones sensibles conservan motivo obligatorio y auditoría cuando aplica.</w:t>
      </w:r>
    </w:p>
    <w:p>
      <w:pPr>
        <w:pStyle w:val="Heading1"/>
      </w:pPr>
      <w:r>
        <w:rPr>
          <w:sz w:val="22"/>
        </w:rPr>
        <w:t>5. Observaciones corregidas en control de calidad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18"/>
              </w:rPr>
              <w:t>Área</w:t>
            </w:r>
          </w:p>
        </w:tc>
        <w:tc>
          <w:tcPr>
            <w:tcW w:type="dxa" w:w="720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18"/>
              </w:rPr>
              <w:t>Resultado</w:t>
            </w:r>
          </w:p>
        </w:tc>
      </w:tr>
      <w:tr>
        <w:tc>
          <w:tcPr>
            <w:tcW w:type="dxa" w:w="216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Textos visibles</w:t>
            </w:r>
          </w:p>
        </w:tc>
        <w:tc>
          <w:tcPr>
            <w:tcW w:type="dxa" w:w="720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 sustituyeron textos técnicos genéricos por mensajes funcionales comprensibles para el usuario.</w:t>
            </w:r>
          </w:p>
        </w:tc>
      </w:tr>
      <w:tr>
        <w:tc>
          <w:tcPr>
            <w:tcW w:type="dxa" w:w="216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Estados</w:t>
            </w:r>
          </w:p>
        </w:tc>
        <w:tc>
          <w:tcPr>
            <w:tcW w:type="dxa" w:w="720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 interfaz muestra nombres legibles y evita guiones bajos en estados visibles.</w:t>
            </w:r>
          </w:p>
        </w:tc>
      </w:tr>
      <w:tr>
        <w:tc>
          <w:tcPr>
            <w:tcW w:type="dxa" w:w="216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Activar/Desactivar</w:t>
            </w:r>
          </w:p>
        </w:tc>
        <w:tc>
          <w:tcPr>
            <w:tcW w:type="dxa" w:w="720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 reemplazó la acción visible Inactivar por Desactivar y Activar cuando corresponde.</w:t>
            </w:r>
          </w:p>
        </w:tc>
      </w:tr>
      <w:tr>
        <w:tc>
          <w:tcPr>
            <w:tcW w:type="dxa" w:w="216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Reportería</w:t>
            </w:r>
          </w:p>
        </w:tc>
        <w:tc>
          <w:tcPr>
            <w:tcW w:type="dxa" w:w="720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 validó que filtros y salidas oficiales respeten datos persistidos.</w:t>
            </w:r>
          </w:p>
        </w:tc>
      </w:tr>
      <w:tr>
        <w:tc>
          <w:tcPr>
            <w:tcW w:type="dxa" w:w="216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Layout</w:t>
            </w:r>
          </w:p>
        </w:tc>
        <w:tc>
          <w:tcPr>
            <w:tcW w:type="dxa" w:w="720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 corrigieron desbordes y espacios visuales no profesionales en pantallas del módulo.</w:t>
            </w:r>
          </w:p>
        </w:tc>
      </w:tr>
      <w:tr>
        <w:tc>
          <w:tcPr>
            <w:tcW w:type="dxa" w:w="216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Actualización</w:t>
            </w:r>
          </w:p>
        </w:tc>
        <w:tc>
          <w:tcPr>
            <w:tcW w:type="dxa" w:w="7200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botón Actualizar recarga datos, limpia captura y deselecciona matriz cuando aplica.</w:t>
            </w:r>
          </w:p>
        </w:tc>
      </w:tr>
    </w:tbl>
    <w:p/>
    <w:p>
      <w:pPr>
        <w:pStyle w:val="Heading1"/>
      </w:pPr>
      <w:r>
        <w:rPr>
          <w:sz w:val="22"/>
        </w:rPr>
        <w:t>6. Pendientes no bloqueantes</w:t>
      </w:r>
    </w:p>
    <w:p>
      <w:pPr>
        <w:ind w:left="360" w:hanging="216"/>
      </w:pPr>
      <w:r>
        <w:rPr>
          <w:b/>
          <w:sz w:val="22"/>
        </w:rPr>
        <w:t xml:space="preserve">• </w:t>
      </w:r>
      <w:r>
        <w:rPr>
          <w:sz w:val="22"/>
        </w:rPr>
        <w:t>Realizar recorrido visual manual con capturas finales si el equipo requiere evidencia gráfica adicional.</w:t>
      </w:r>
    </w:p>
    <w:p>
      <w:pPr>
        <w:ind w:left="360" w:hanging="216"/>
      </w:pPr>
      <w:r>
        <w:rPr>
          <w:b/>
          <w:sz w:val="22"/>
        </w:rPr>
        <w:t xml:space="preserve">• </w:t>
      </w:r>
      <w:r>
        <w:rPr>
          <w:sz w:val="22"/>
        </w:rPr>
        <w:t>Ejecutar prueba de rendimiento con mayor volumen de registros en red institucional si el ambiente lo permite.</w:t>
      </w:r>
    </w:p>
    <w:p>
      <w:pPr>
        <w:ind w:left="360" w:hanging="216"/>
      </w:pPr>
      <w:r>
        <w:rPr>
          <w:b/>
          <w:sz w:val="22"/>
        </w:rPr>
        <w:t xml:space="preserve">• </w:t>
      </w:r>
      <w:r>
        <w:rPr>
          <w:sz w:val="22"/>
        </w:rPr>
        <w:t>Revisar dependencias npm transitivas en una rama separada de mantenimiento, sin mezclarlo con Fase 11.</w:t>
      </w:r>
    </w:p>
    <w:p>
      <w:pPr>
        <w:pStyle w:val="Heading1"/>
      </w:pPr>
      <w:r>
        <w:rPr>
          <w:sz w:val="22"/>
        </w:rPr>
        <w:t>7. Decisión de control</w:t>
      </w:r>
    </w:p>
    <w:p>
      <w:r>
        <w:rPr>
          <w:sz w:val="22"/>
        </w:rPr>
        <w:t>Con base en las pruebas ejecutadas y la evidencia técnica registrada, la Fase 11 queda aprobada y cerrada formalmente. Cualquier alcance nuevo deberá gestionarse como continuidad planificada, mantenimiento controlado o fase posterior según el plan vigente.</w:t>
      </w:r>
    </w:p>
    <w:p>
      <w:pPr>
        <w:pStyle w:val="Heading1"/>
      </w:pPr>
      <w:r>
        <w:rPr>
          <w:sz w:val="22"/>
        </w:rPr>
        <w:t>8. Archivos de evidencia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18"/>
              </w:rPr>
              <w:t>Archivo</w:t>
            </w:r>
          </w:p>
        </w:tc>
        <w:tc>
          <w:tcPr>
            <w:tcW w:type="dxa" w:w="561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18"/>
              </w:rPr>
              <w:t>Propósito</w:t>
            </w:r>
          </w:p>
        </w:tc>
      </w:tr>
      <w:tr>
        <w:tc>
          <w:tcPr>
            <w:tcW w:type="dxa" w:w="3744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fase11_matriz_inicial_pruebas.json</w:t>
            </w:r>
          </w:p>
        </w:tc>
        <w:tc>
          <w:tcPr>
            <w:tcW w:type="dxa" w:w="561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Evidencia base de escenarios integrales de Fase 11.</w:t>
            </w:r>
          </w:p>
        </w:tc>
      </w:tr>
      <w:tr>
        <w:tc>
          <w:tcPr>
            <w:tcW w:type="dxa" w:w="3744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fase11_validacion_inicial_quality_gates.json</w:t>
            </w:r>
          </w:p>
        </w:tc>
        <w:tc>
          <w:tcPr>
            <w:tcW w:type="dxa" w:w="561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Evidencia inicial de quality gates.</w:t>
            </w:r>
          </w:p>
        </w:tc>
      </w:tr>
      <w:tr>
        <w:tc>
          <w:tcPr>
            <w:tcW w:type="dxa" w:w="3744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fase11_validacion_final_quality_gates.json</w:t>
            </w:r>
          </w:p>
        </w:tc>
        <w:tc>
          <w:tcPr>
            <w:tcW w:type="dxa" w:w="561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Evidencia final revalidada el 20/07/2026.</w:t>
            </w:r>
          </w:p>
        </w:tc>
      </w:tr>
    </w:tbl>
    <w:p/>
    <w:p>
      <w:pPr>
        <w:pStyle w:val="Heading1"/>
      </w:pPr>
      <w:r>
        <w:rPr>
          <w:sz w:val="22"/>
        </w:rPr>
        <w:t>9. Cierre formal de Fase 11</w:t>
      </w:r>
    </w:p>
    <w:p>
      <w:r>
        <w:rPr>
          <w:sz w:val="22"/>
        </w:rPr>
        <w:t>Javier Mejía aprueba formalmente el cierre de la Fase 11 el 20/07/2026. La fase queda cerrada a nivel documental y técnico con evidencia de pruebas backend, frontend, build, E2E y controles funcionales registrados.</w:t>
      </w:r>
    </w:p>
    <w:p>
      <w:r>
        <w:rPr>
          <w:sz w:val="22"/>
        </w:rPr>
        <w:t>La continuidad del proyecto deberá respetar las reglas ya aprobadas: permisos por módulo, cálculo en backend, separación entre Monitoreo de Listas y Matrices de Riesgos, sin escritura hacia DNP y sin uso de CONTROL_ALMACEN.PROVEEDOR.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473"/>
        <w:sz w:val="16"/>
      </w:rPr>
      <w:t>Documento técnico de control interno - Responsable: Javier Mejía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6473"/>
        <w:sz w:val="16"/>
      </w:rPr>
      <w:t>SGRLA-IHSS | Fase 11 - Control de calidad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