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F8D"/>
          <w:sz w:val="34"/>
        </w:rPr>
        <w:t>Fase 11. Pruebas Integrales y Control de Calidad</w:t>
      </w:r>
    </w:p>
    <w:p>
      <w:pPr>
        <w:jc w:val="center"/>
      </w:pPr>
      <w:r>
        <w:rPr>
          <w:color w:val="4B5563"/>
          <w:sz w:val="24"/>
        </w:rPr>
        <w:t>Módulo 3. Matrices de Riesgos - SGRLA/FT IHSS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Acta técnica de inicio y validación inicial de Fase 11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1.0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Fase 11 iniciada; validación inicial de quality gates aprobada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Responsable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17/07/2026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Base documental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Fases 1 a 10 aprobadas/cerradas y plan vigente del módulo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5EE"/>
            <w:vAlign w:val="center"/>
          </w:tcPr>
          <w:p>
            <w:r/>
            <w:r>
              <w:rPr>
                <w:rFonts w:ascii="Calibri" w:hAnsi="Calibri"/>
                <w:b/>
                <w:color w:val="0F7A4D"/>
                <w:sz w:val="20"/>
              </w:rPr>
              <w:t>Resultado inicial: las puertas de calidad del repositorio fueron ejecutadas y aprobadas. Esta evidencia no cierra la Fase 11; habilita la continuidad de las pruebas integrales funcionales, DBA, auditoría, seguridad y experiencia de usuario.</w:t>
            </w:r>
          </w:p>
        </w:tc>
      </w:tr>
    </w:tbl>
    <w:p/>
    <w:p>
      <w:pPr>
        <w:pStyle w:val="Heading1"/>
      </w:pPr>
      <w:r>
        <w:t>1. Objetivo de la Fase 11</w:t>
      </w:r>
    </w:p>
    <w:p>
      <w:r>
        <w:rPr>
          <w:rFonts w:ascii="Calibri" w:hAnsi="Calibri"/>
          <w:b w:val="0"/>
          <w:sz w:val="22"/>
        </w:rPr>
        <w:t>Validar funcionamiento, seguridad, consistencia de datos, auditoría, rendimiento básico y experiencia de usuario antes del cierre del módulo Matrices de Riesgos.</w:t>
      </w:r>
    </w:p>
    <w:p>
      <w:pPr>
        <w:pStyle w:val="Heading1"/>
      </w:pPr>
      <w:r>
        <w:t>2. Alcance de pruebas integrales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4824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Validación esperada</w:t>
            </w:r>
          </w:p>
        </w:tc>
        <w:tc>
          <w:tcPr>
            <w:tcW w:type="dxa" w:w="2592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Estado actual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Backend/API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Contratos REST, reglas de negocio, manejo de errores y auditoría.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gate inicial aprobado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 Angular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Interfaz, validaciones visibles, rutas protegidas y flujos de usuario.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gate inicial aprobado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E2E autenticado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Acceso, rutas protegidas y apertura del módulo autorizado.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Aprobado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Base de datos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Consistencia RL_MR_*, auditoría, historial y scripts aprobados.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 de validación integral DBA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Escenarios de riesgo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Casos bajo, medio, alto y crítico conforme metodología.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 de matriz funcional ampliada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Reportería/exportaciones</w:t>
            </w:r>
          </w:p>
        </w:tc>
        <w:tc>
          <w:tcPr>
            <w:tcW w:type="dxa" w:w="482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PDF/Excel con datos filtrados, persistidos y auditados.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 de retest integral Fase 11</w:t>
            </w:r>
          </w:p>
        </w:tc>
      </w:tr>
    </w:tbl>
    <w:p/>
    <w:p>
      <w:pPr>
        <w:pStyle w:val="Heading1"/>
      </w:pPr>
      <w:r>
        <w:t>3. Evidencia de quality gates ejecutados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1728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5616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Backend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Correcto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77 pruebas superadas, 0 fallidas. Cobertura líneas 15.35%, ramas 16.36%.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Correcto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123 pruebas superadas en 13 archivos. Cobertura líneas 31.26%, ramas 26.97%, funciones 29.94%.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E2E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Correcto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pruebas Chromium superadas, 0 fallidas.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Resultado general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Correcto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Puertas de calidad correctas.</w:t>
            </w:r>
          </w:p>
        </w:tc>
      </w:tr>
    </w:tbl>
    <w:p/>
    <w:p>
      <w:pPr>
        <w:pStyle w:val="Heading1"/>
      </w:pPr>
      <w:r>
        <w:t>4. Matriz inicial de pruebas de Fase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3168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Prueba integral</w:t>
            </w:r>
          </w:p>
        </w:tc>
        <w:tc>
          <w:tcPr>
            <w:tcW w:type="dxa" w:w="4248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Criterio de aceptación</w:t>
            </w:r>
          </w:p>
        </w:tc>
        <w:tc>
          <w:tcPr>
            <w:tcW w:type="dxa" w:w="1296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F11-01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Autenticación y acceso por módulo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Usuario autorizado ingresa; usuario sin módulo queda bloqueado.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F11-02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Creación y edición de matrices por tipo de sujeto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duplica por identificador/documento; variables corresponden al tipo.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F11-03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Cálculo por factor e institucional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Resultados coinciden con pesos y criterios aprobados.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F11-04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Escenarios bajo, medio, alto y crítico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clasificación residual e inherente coincide con escalas vigentes.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F11-05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Planes de acción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 exige plan cuando residual es alto/crítico y se auditan cambios.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F11-06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Evidencias documentales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Carga, vista previa, descarga e inactivación lógica funcionan.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F11-07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Reportes y exportaciones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PDF/Excel respetan filtros y registran auditoría.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F11-08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Auditoría e historial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Eventos sensibles aparecen en RL_AUDITORIA y RL_MR_HISTORIAL.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F11-09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Rendimiento básico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Consultas principales responden en tiempos aceptables en ambiente local.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F11-10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Experiencia visual</w:t>
            </w:r>
          </w:p>
        </w:tc>
        <w:tc>
          <w:tcPr>
            <w:tcW w:type="dxa" w:w="42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hay desbordes, textos rotos ni acciones confusas.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</w:tbl>
    <w:p/>
    <w:p>
      <w:pPr>
        <w:pStyle w:val="Heading1"/>
      </w:pPr>
      <w:r>
        <w:t>5. Reglas vigentes que no deben alterarse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6480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Confirmación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Permisos por módulo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 mantiene RL_MODULOS, RL_USUARIO_MODULOS, JWT y ModuloAuthorize(10).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Cálculo backend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Angular no calcula ponderaciones, escalas, mitigación ni riesgo residual.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Separación de módulos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Monitoreo de Listas no se conecta con Matrices de Riesgos.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DNP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Permanece como integración futura, sin escritura directa.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CONTROL_ALMACEN.PROVEEDOR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se toca ni se incorpora al proyecto.</w:t>
            </w:r>
          </w:p>
        </w:tc>
      </w:tr>
    </w:tbl>
    <w:p/>
    <w:p>
      <w:pPr>
        <w:pStyle w:val="Heading1"/>
      </w:pPr>
      <w:r>
        <w:t>6. Pendientes controlados para cierre de Fase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240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Pendiente</w:t>
            </w:r>
          </w:p>
        </w:tc>
        <w:tc>
          <w:tcPr>
            <w:tcW w:type="dxa" w:w="6120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Acción requerida</w:t>
            </w:r>
          </w:p>
        </w:tc>
      </w:tr>
      <w:tr>
        <w:tc>
          <w:tcPr>
            <w:tcW w:type="dxa" w:w="32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Matriz funcional ampliada</w:t>
            </w:r>
          </w:p>
        </w:tc>
        <w:tc>
          <w:tcPr>
            <w:tcW w:type="dxa" w:w="6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Ejecutar casos por estado, tipo de sujeto y nivel de riesgo.</w:t>
            </w:r>
          </w:p>
        </w:tc>
      </w:tr>
      <w:tr>
        <w:tc>
          <w:tcPr>
            <w:tcW w:type="dxa" w:w="32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Validación DBA integral</w:t>
            </w:r>
          </w:p>
        </w:tc>
        <w:tc>
          <w:tcPr>
            <w:tcW w:type="dxa" w:w="6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Confirmar consistencia de tablas RL_MR_*, auditoría, historial y datos de prueba.</w:t>
            </w:r>
          </w:p>
        </w:tc>
      </w:tr>
      <w:tr>
        <w:tc>
          <w:tcPr>
            <w:tcW w:type="dxa" w:w="32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Validación visual navegada</w:t>
            </w:r>
          </w:p>
        </w:tc>
        <w:tc>
          <w:tcPr>
            <w:tcW w:type="dxa" w:w="6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Revisar pantallas reales y confirmar ausencia de desbordes.</w:t>
            </w:r>
          </w:p>
        </w:tc>
      </w:tr>
      <w:tr>
        <w:tc>
          <w:tcPr>
            <w:tcW w:type="dxa" w:w="32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Correcciones de hallazgos</w:t>
            </w:r>
          </w:p>
        </w:tc>
        <w:tc>
          <w:tcPr>
            <w:tcW w:type="dxa" w:w="6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Resolver cualquier defecto crítico antes del cierre.</w:t>
            </w:r>
          </w:p>
        </w:tc>
      </w:tr>
      <w:tr>
        <w:tc>
          <w:tcPr>
            <w:tcW w:type="dxa" w:w="324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Aprobación formal</w:t>
            </w:r>
          </w:p>
        </w:tc>
        <w:tc>
          <w:tcPr>
            <w:tcW w:type="dxa" w:w="6120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Cerrar Fase 11 solo con aprobación de Javier Mejía.</w:t>
            </w:r>
          </w:p>
        </w:tc>
      </w:tr>
    </w:tbl>
    <w:p/>
    <w:p>
      <w:pPr>
        <w:pStyle w:val="Heading1"/>
      </w:pPr>
      <w:r>
        <w:t>7. Criterios de aceptación para cierre futuro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344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016"/>
            <w:vAlign w:val="center"/>
            <w:shd w:fill="1F3F8D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73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quedan defectos críticos abiertos.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73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Los cálculos esperados coinciden con la metodología aprobada.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73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auditoría conserva eventos sensibles y exportaciones.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73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experiencia de usuario queda estable, clara y sin desbordes.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734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 documentación de evidencia queda completa en Word.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Pendiente</w:t>
            </w:r>
          </w:p>
        </w:tc>
      </w:tr>
    </w:tbl>
    <w:p/>
    <w:p>
      <w:pPr>
        <w:pStyle w:val="Heading1"/>
      </w:pPr>
      <w:r>
        <w:t>8. Conclusión de inicio</w:t>
      </w:r>
    </w:p>
    <w:p>
      <w:r>
        <w:rPr>
          <w:rFonts w:ascii="Calibri" w:hAnsi="Calibri"/>
          <w:b w:val="0"/>
          <w:sz w:val="22"/>
        </w:rPr>
        <w:t>La Fase 11 queda formalmente iniciada. La primera validación automatizada del repositorio fue exitosa y sirve como línea base de control de calidad. La fase aún no está cerrada; el siguiente paso es ejecutar la matriz integral de pruebas funcionales, DBA, auditoría, seguridad, reportes, evidencias y experiencia de usuario.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F8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3F8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